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NEMCSICS</w:t>
            </w:r>
          </w:p>
          <w:p w:rsidR="00C275A3" w:rsidRDefault="00A96AEC" w:rsidP="00C275A3">
            <w:pPr>
              <w:pStyle w:val="Hallgatokepzes"/>
            </w:pPr>
            <w:r>
              <w:t>Faculty of Medicine</w:t>
            </w:r>
            <w:r>
              <w:br/>
            </w:r>
            <w:r w:rsidR="00E77B23">
              <w:t>Unified, 8.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Czirják, M.D., Ph.D. </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inhibitory effect of MARK2 (Microtubule Affinity-Regulating Kinase) on the two-pore domain background K+ channel, TRESK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TRESK (TWIK-related spinal cord potassium channel) is abundantly expressed in the dorsal root and trigeminal ganglia. Dominant negative mutation of the channel is linked to familiar migrane with aura. Our team has previously reported that TRESK channel is activated by the calcium/calmodulin-dependent protein phosphatase calcineurin. Calcineurin dephosphorylates the important regulating regions of the channel, Ser264 and the serine cluster around the 276th position (Ser274, Ser276, Ser279). It is known that Ser264 is a substrate of protein kinase A, but the other kinase that phosphorylates the S274,276,279 cluster (and thus it inhibits the channel) has not yet been identified. We knew about this unknown kinase that it was inhibited by 14-3-3 adaptor protein. Due to the fact that 14-3-3 directly affects MARK kinases, I have examined the effect of MARK2 on TRESK channel.</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After reverse transcription of mRNA from mouse brain, I amplified the cDNA of MARK2 by PCR and ligated it into a vector. I made the kinase constitutively active by T208E mutation and I also introduced S400A and T539A mutations (which prevent the binding of the inhibitory 14-3-3 protein). I studied the effect of this triple mutant version of the kinase on TRESK in Xenopus oocyte expression system. In addition to the in vitro synthesized TRESK cRNA, I also injected the mutant MARK2 cRNA into the oocytes. Only TRESK cRNA was injected in the control group. I examined the interaction of MARK2 and the TRESK by two-electrode voltage clamp measuring device.</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The kinase decreased the basal activity of TRESK, and after stimulation with the calcium ionophore the potassium current returned faster to its resting value in the presence of the kinase. In the second part of the experiment recombinant MARK2 proteins were produced in bacteria and injected into the TRESK-expressing oocytes. The inhibitory effect of MARK2 on TRESK could also be observed under such circumstances.</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TRESK is the first known ion channel that is directly regulated by MARK kinases. MARK2 is important in maintaining cell polarity and in the regulation of the microtubule system. Our results suggest that the microtubule system and the amplitude of the background potassium current are both regulated by this kinase in the cells expressing TRESK channel.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718058">
    <w:multiLevelType w:val="hybridMultilevel"/>
    <w:lvl w:ilvl="0" w:tplc="74561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718058">
    <w:abstractNumId w:val="92718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386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