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GYÖNGYI SZAKADÁTI</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László Hunyady</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Dr. András Balla</w:t>
            </w:r>
          </w:p>
          <w:p w:rsidR="00DB4822" w:rsidRDefault="00DB4822" w:rsidP="00E11062">
            <w:pPr>
              <w:pStyle w:val="Konzulensek"/>
            </w:pPr>
            <w:r w:rsidRPr="00DB4822">
              <w:t>senior 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distribution of type I angiotensin receptor in living cells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plasma membrane is not a uniform structure but rather a mosaic of microdomains, which contain specific lipid and protein components. These microdomains have important roles in compartmentalized signaling. A number of data in the literature suggest that distribution of membrane receptors is not uniform in the plasma membrane.</w:t>
      </w:r>
    </w:p>
    <w:p>
      <w:pPr>
        <w:widowControl w:val="on"/>
        <w:pBdr/>
        <w:spacing w:before="240" w:after="240" w:line="240" w:lineRule="auto"/>
        <w:ind w:left="0" w:right="0"/>
        <w:jc w:val="left"/>
      </w:pPr>
      <w:r>
        <w:rPr>
          <w:color w:val="000000"/>
          <w:sz w:val="24"/>
          <w:szCs w:val="24"/>
        </w:rPr>
        <w:t xml:space="preserve">  In the present study, we have investigated the compartmentalization of the type I angiotensin receptor (AT1R) in the plasma membrane in response to ligand binding. We followed the distribution of the AT1Rs after ligand stimulus using bioluminescence resonance energy transfer (BRET)-based approach in HEK293 living cells.</w:t>
      </w:r>
    </w:p>
    <w:p>
      <w:pPr>
        <w:widowControl w:val="on"/>
        <w:pBdr/>
        <w:spacing w:before="240" w:after="240" w:line="240" w:lineRule="auto"/>
        <w:ind w:left="0" w:right="0"/>
        <w:jc w:val="left"/>
      </w:pPr>
      <w:r>
        <w:rPr>
          <w:color w:val="000000"/>
          <w:sz w:val="24"/>
          <w:szCs w:val="24"/>
        </w:rPr>
        <w:t xml:space="preserve">  Our previous experiments showed that AT1R probably is not distributed uniformly in the plasma membrane but rather localized in specific microdomains and its localization rapidly changes after stimulation. The AT1R receptor translocated from the myristoylated and palmitoylated biosensor (MP-YFP) labeled microdomain into the KR-YFP marker labeled non-raft microdomain before the internalization of the receptor in response to agonist stimulation. In our present study, we investigated the mechanism of the molecular dynamics of the receptor. We also examined the trafficking of the DRY/AAY mutant AT1R (not able to activate Gq/11 protein), and the TSTS/A mutant AT1R (not able to desensitize). Comparing the data, which were obtained utilizing either wild type or mutated AT1-R co-expressed with the fluorescent probes in HEK293 cells, revealed changes in their distribution between membrane microdomains in response to AngII stimulation.Our data showed that Gq protein activation is necessary for the proper compartmentalization of the AT1R and G-protein independent activation of the receptor leads to faster internalization in HEK293 cells. The stimulation of the β-arrestin binding deficient TSTS/A mutant AT1R lead to translocation to non-lipid rafts and hydrolysis of PtdIns(4,5)P2, but the internalization of the receptor was reduced, which was investigated by an early endosome marker (Rab5-YFP). The time resolution of the BRET measurement allowed us to demonstrate that the agonist-induced binding of GRK2 to the AT1R precedes the binding of β-arrestin2 to the receptor.</w:t>
      </w:r>
    </w:p>
    <w:p>
      <w:pPr>
        <w:widowControl w:val="on"/>
        <w:pBdr/>
        <w:spacing w:before="240" w:after="240" w:line="240" w:lineRule="auto"/>
        <w:ind w:left="0" w:right="0"/>
        <w:jc w:val="left"/>
      </w:pPr>
      <w:r>
        <w:rPr>
          <w:color w:val="000000"/>
          <w:sz w:val="24"/>
          <w:szCs w:val="24"/>
        </w:rPr>
        <w:t xml:space="preserve">  Taken together, these studies provided valuable information about the distribution and dynamics of AT1R upon ligand binding among membrane microdomains.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56934">
    <w:multiLevelType w:val="hybridMultilevel"/>
    <w:lvl w:ilvl="0" w:tplc="310753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56934">
    <w:abstractNumId w:val="333569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751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