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ÁGNES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Zádori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Gyires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Imidazolin ligandok hatásának vizsgálata a gyomormotilitásra α2 adrenoceptor génkiütött egerekben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imidazolin hipotézis szerint a clonidin és a vele rokon szerkezetű α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-adrenoceptor agonisták egyes hatásait nem α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-adrenoceptorok, hanem imidazolin receptorok mediálják. Az imidazolin receptorok szerepe a gasztrointesztinális funkciók szabályozásában is felmerült, vizsgálatukat azonban nehezíti, hogy az imidazolin ligandok többsége jelentős affinitással kötődik az α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-adrenoceptorokhoz is. Kísérleteim során azt vizsgáltam, hogy a különböző imidazolin ligandok (moxonidin, rilmenidin, AGN 192403) gátolják-e a gyomorkontrakciókat különböző α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-adrenoceptor-szubtípus génkiütött egerekben, és ha igen, vajon α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-adrenoceptorok, vagy imidazolin receptorok mediálják a hatást. Módszerek: A kísérletek során vad típusú, valamint α</w:t>
      </w:r>
      <w:r>
        <w:rPr>
          <w:color w:val="000000"/>
          <w:position w:val="-4"/>
          <w:sz w:val="21"/>
          <w:szCs w:val="21"/>
          <w:vertAlign w:val="subscript"/>
        </w:rPr>
        <w:t xml:space="preserve">2A</w:t>
      </w:r>
      <w:r>
        <w:rPr>
          <w:color w:val="000000"/>
          <w:sz w:val="24"/>
          <w:szCs w:val="24"/>
        </w:rPr>
        <w:t xml:space="preserve">-, α</w:t>
      </w:r>
      <w:r>
        <w:rPr>
          <w:color w:val="000000"/>
          <w:position w:val="-4"/>
          <w:sz w:val="21"/>
          <w:szCs w:val="21"/>
          <w:vertAlign w:val="subscript"/>
        </w:rPr>
        <w:t xml:space="preserve">2B</w:t>
      </w:r>
      <w:r>
        <w:rPr>
          <w:color w:val="000000"/>
          <w:sz w:val="24"/>
          <w:szCs w:val="24"/>
        </w:rPr>
        <w:t xml:space="preserve">- és α</w:t>
      </w:r>
      <w:r>
        <w:rPr>
          <w:color w:val="000000"/>
          <w:position w:val="-4"/>
          <w:sz w:val="21"/>
          <w:szCs w:val="21"/>
          <w:vertAlign w:val="subscript"/>
        </w:rPr>
        <w:t xml:space="preserve">2C</w:t>
      </w:r>
      <w:r>
        <w:rPr>
          <w:color w:val="000000"/>
          <w:sz w:val="24"/>
          <w:szCs w:val="24"/>
        </w:rPr>
        <w:t xml:space="preserve">-KO C57BL/6 egereket használtam. A gyomormotilitást in vitro vizsgáltam, a fundus stripeket 5 ml-es, 37 </w:t>
      </w:r>
      <w:r>
        <w:rPr>
          <w:color w:val="000000"/>
          <w:position w:val="4"/>
          <w:sz w:val="21"/>
          <w:szCs w:val="21"/>
          <w:vertAlign w:val="superscript"/>
        </w:rPr>
        <w:t xml:space="preserve">◦</w:t>
      </w:r>
      <w:r>
        <w:rPr>
          <w:color w:val="000000"/>
          <w:sz w:val="24"/>
          <w:szCs w:val="24"/>
        </w:rPr>
        <w:t xml:space="preserve">C Krebs oldatot tartalmazó szervfürdőkben függesztettem fel két elektróda közé, majd a kontrakciókat elektromos téringerléssel (EFS) stimuláltam. A vegyületeket kumulatív módon injektáltam a szervfürdőkbe. Eredmények: 1) A moxonidin és a rilmenidin (1-10000 nM) dózisfüggően gátolták az EFS-indukálta gyomorkontrakciókat vad típusú, valamint α</w:t>
      </w:r>
      <w:r>
        <w:rPr>
          <w:color w:val="000000"/>
          <w:position w:val="-4"/>
          <w:sz w:val="21"/>
          <w:szCs w:val="21"/>
          <w:vertAlign w:val="subscript"/>
        </w:rPr>
        <w:t xml:space="preserve">2B</w:t>
      </w:r>
      <w:r>
        <w:rPr>
          <w:color w:val="000000"/>
          <w:sz w:val="24"/>
          <w:szCs w:val="24"/>
        </w:rPr>
        <w:t xml:space="preserve">- és α</w:t>
      </w:r>
      <w:r>
        <w:rPr>
          <w:color w:val="000000"/>
          <w:position w:val="-4"/>
          <w:sz w:val="21"/>
          <w:szCs w:val="21"/>
          <w:vertAlign w:val="subscript"/>
        </w:rPr>
        <w:t xml:space="preserve">2C</w:t>
      </w:r>
      <w:r>
        <w:rPr>
          <w:color w:val="000000"/>
          <w:sz w:val="24"/>
          <w:szCs w:val="24"/>
        </w:rPr>
        <w:t xml:space="preserve">-KO egerekben. 2) Mindkét vegyület hatását gátolta a nem szelektív α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-adrenoceptor és imidazolin antagonista idazoxan (10000 nM) valamint a szelektív α</w:t>
      </w:r>
      <w:r>
        <w:rPr>
          <w:color w:val="000000"/>
          <w:position w:val="-4"/>
          <w:sz w:val="21"/>
          <w:szCs w:val="21"/>
          <w:vertAlign w:val="subscript"/>
        </w:rPr>
        <w:t xml:space="preserve">2A</w:t>
      </w:r>
      <w:r>
        <w:rPr>
          <w:color w:val="000000"/>
          <w:sz w:val="24"/>
          <w:szCs w:val="24"/>
        </w:rPr>
        <w:t xml:space="preserve">-adrenoceptor antagonista BRL 44408 (10000 nM). 3) Sem a moxonidin, sem a rilmenidin nem gátolta a gyomorkontrakciókat α</w:t>
      </w:r>
      <w:r>
        <w:rPr>
          <w:color w:val="000000"/>
          <w:position w:val="-4"/>
          <w:sz w:val="21"/>
          <w:szCs w:val="21"/>
          <w:vertAlign w:val="subscript"/>
        </w:rPr>
        <w:t xml:space="preserve">2A</w:t>
      </w:r>
      <w:r>
        <w:rPr>
          <w:color w:val="000000"/>
          <w:sz w:val="24"/>
          <w:szCs w:val="24"/>
        </w:rPr>
        <w:t xml:space="preserve">-KO egerekben. 4) A szelektív I1-agonista AGN 192403 (1-10000 nM) nem befolyásolta a gyomorkontrakciókat vad típusú egerekben. Következtetések: A génkiütött egereken végzett kísérletek arra utalnak, hogy a különböző imidazolin ligandok gyomormotilitásra kifejtett hatását α</w:t>
      </w:r>
      <w:r>
        <w:rPr>
          <w:color w:val="000000"/>
          <w:position w:val="-4"/>
          <w:sz w:val="21"/>
          <w:szCs w:val="21"/>
          <w:vertAlign w:val="subscript"/>
        </w:rPr>
        <w:t xml:space="preserve">2A</w:t>
      </w:r>
      <w:r>
        <w:rPr>
          <w:color w:val="000000"/>
          <w:sz w:val="24"/>
          <w:szCs w:val="24"/>
        </w:rPr>
        <w:t xml:space="preserve">-adrenoceptorok, és nem imidazolin receptorok mediálják.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81446">
    <w:multiLevelType w:val="hybridMultilevel"/>
    <w:lvl w:ilvl="0" w:tplc="24826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81446">
    <w:abstractNumId w:val="88881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217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