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FEHER</w:t>
            </w:r>
          </w:p>
          <w:p w:rsidR="00C275A3" w:rsidRDefault="00A96AEC" w:rsidP="00C275A3">
            <w:pPr>
              <w:pStyle w:val="Hallgatokepzes"/>
            </w:pPr>
            <w:r>
              <w:t>medical doctor</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Zadori</w:t>
            </w:r>
          </w:p>
          <w:p w:rsidR="00DB4822" w:rsidRDefault="00DB4822" w:rsidP="00E11062">
            <w:pPr>
              <w:pStyle w:val="Konzulensek"/>
            </w:pPr>
            <w:r w:rsidRPr="00DB4822">
              <w:t>assistant professor, SE ÁOK</w:t>
            </w:r>
          </w:p>
        </w:tc>
      </w:tr>
      <w:tr w:rsidR="00DB4822" w:rsidTr="00DB4822">
        <w:tc>
          <w:tcPr>
            <w:tcW w:w="9854" w:type="dxa"/>
          </w:tcPr>
          <w:p w:rsidR="00DB4822" w:rsidRPr="00DB4822" w:rsidRDefault="00DB4822" w:rsidP="004D7940">
            <w:pPr>
              <w:pStyle w:val="Konzulensek"/>
            </w:pPr>
            <w:r w:rsidRPr="00DB4822">
              <w:t>Dr. Klara Gyires</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imidazoline receptor ligands in the regulation of gastric motility in α2- adrenoceptor KO mice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imidazolin hypotesis suggests that some effects of clonidine and structurally related α</w:t>
      </w:r>
      <w:r>
        <w:rPr>
          <w:color w:val="000000"/>
          <w:position w:val="-4"/>
          <w:sz w:val="21"/>
          <w:szCs w:val="21"/>
          <w:vertAlign w:val="subscript"/>
        </w:rPr>
        <w:t xml:space="preserve">2</w:t>
      </w:r>
      <w:r>
        <w:rPr>
          <w:color w:val="000000"/>
          <w:sz w:val="24"/>
          <w:szCs w:val="24"/>
        </w:rPr>
        <w:t xml:space="preserve">-adrenoceptor agonists are mediated by imidazoline receptors, instead of α</w:t>
      </w:r>
      <w:r>
        <w:rPr>
          <w:color w:val="000000"/>
          <w:position w:val="-4"/>
          <w:sz w:val="21"/>
          <w:szCs w:val="21"/>
          <w:vertAlign w:val="subscript"/>
        </w:rPr>
        <w:t xml:space="preserve">2</w:t>
      </w:r>
      <w:r>
        <w:rPr>
          <w:color w:val="000000"/>
          <w:sz w:val="24"/>
          <w:szCs w:val="24"/>
        </w:rPr>
        <w:t xml:space="preserve">-adrenoceptors. The role of imidazoline receptors has been suggested in the regulation of gastrointestinal functions as well. However, analysis of imidazoline receptors can raise several difficulties, since most imidazoline agonists possess reasonable affinity also for α</w:t>
      </w:r>
      <w:r>
        <w:rPr>
          <w:color w:val="000000"/>
          <w:position w:val="-4"/>
          <w:sz w:val="21"/>
          <w:szCs w:val="21"/>
          <w:vertAlign w:val="subscript"/>
        </w:rPr>
        <w:t xml:space="preserve">2</w:t>
      </w:r>
      <w:r>
        <w:rPr>
          <w:color w:val="000000"/>
          <w:sz w:val="24"/>
          <w:szCs w:val="24"/>
        </w:rPr>
        <w:t xml:space="preserve">-adrenoceptors. The aim of our study was to test different imidazoline ligands (moxonidine, rilmenidine, AGN 192403) in α</w:t>
      </w:r>
      <w:r>
        <w:rPr>
          <w:color w:val="000000"/>
          <w:position w:val="-4"/>
          <w:sz w:val="21"/>
          <w:szCs w:val="21"/>
          <w:vertAlign w:val="subscript"/>
        </w:rPr>
        <w:t xml:space="preserve">2</w:t>
      </w:r>
      <w:r>
        <w:rPr>
          <w:color w:val="000000"/>
          <w:sz w:val="24"/>
          <w:szCs w:val="24"/>
        </w:rPr>
        <w:t xml:space="preserve">-adrenoceptor KO mice in order to clarify, whether they can inhibit gastric contractions in mice, and if so, α</w:t>
      </w:r>
      <w:r>
        <w:rPr>
          <w:color w:val="000000"/>
          <w:position w:val="-4"/>
          <w:sz w:val="21"/>
          <w:szCs w:val="21"/>
          <w:vertAlign w:val="subscript"/>
        </w:rPr>
        <w:t xml:space="preserve">2</w:t>
      </w:r>
      <w:r>
        <w:rPr>
          <w:color w:val="000000"/>
          <w:sz w:val="24"/>
          <w:szCs w:val="24"/>
        </w:rPr>
        <w:t xml:space="preserve">-adrenoceptors or imidazoline receptors mediate their effect. Methods: Wild type, α</w:t>
      </w:r>
      <w:r>
        <w:rPr>
          <w:color w:val="000000"/>
          <w:position w:val="-4"/>
          <w:sz w:val="21"/>
          <w:szCs w:val="21"/>
          <w:vertAlign w:val="subscript"/>
        </w:rPr>
        <w:t xml:space="preserve">2A</w:t>
      </w:r>
      <w:r>
        <w:rPr>
          <w:color w:val="000000"/>
          <w:sz w:val="24"/>
          <w:szCs w:val="24"/>
        </w:rPr>
        <w:t xml:space="preserve">-, α</w:t>
      </w:r>
      <w:r>
        <w:rPr>
          <w:color w:val="000000"/>
          <w:position w:val="-4"/>
          <w:sz w:val="21"/>
          <w:szCs w:val="21"/>
          <w:vertAlign w:val="subscript"/>
        </w:rPr>
        <w:t xml:space="preserve">2B</w:t>
      </w:r>
      <w:r>
        <w:rPr>
          <w:color w:val="000000"/>
          <w:sz w:val="24"/>
          <w:szCs w:val="24"/>
        </w:rPr>
        <w:t xml:space="preserve">- and α</w:t>
      </w:r>
      <w:r>
        <w:rPr>
          <w:color w:val="000000"/>
          <w:position w:val="-4"/>
          <w:sz w:val="21"/>
          <w:szCs w:val="21"/>
          <w:vertAlign w:val="subscript"/>
        </w:rPr>
        <w:t xml:space="preserve">2C</w:t>
      </w:r>
      <w:r>
        <w:rPr>
          <w:color w:val="000000"/>
          <w:sz w:val="24"/>
          <w:szCs w:val="24"/>
        </w:rPr>
        <w:t xml:space="preserve">-KO C57BL/6 mice were used. For in vitro analysis of gastric motor activity, stomachs were removed and fundus stripes were suspended between two electrodes in 5 ml organ baths containing 37 </w:t>
      </w:r>
      <w:r>
        <w:rPr>
          <w:color w:val="000000"/>
          <w:position w:val="4"/>
          <w:sz w:val="21"/>
          <w:szCs w:val="21"/>
          <w:vertAlign w:val="superscript"/>
        </w:rPr>
        <w:t xml:space="preserve">◦</w:t>
      </w:r>
      <w:r>
        <w:rPr>
          <w:color w:val="000000"/>
          <w:sz w:val="24"/>
          <w:szCs w:val="24"/>
        </w:rPr>
        <w:t xml:space="preserve">C Krebs solution, then EFS was applied. Drugs were added in a cumulative manner. Results: 1) Both moxonidine and rilmenidine (1-10000 nM) inhibited the EFS-induced contractions in a concentration dependent manner in wild type, α</w:t>
      </w:r>
      <w:r>
        <w:rPr>
          <w:color w:val="000000"/>
          <w:position w:val="-4"/>
          <w:sz w:val="21"/>
          <w:szCs w:val="21"/>
          <w:vertAlign w:val="subscript"/>
        </w:rPr>
        <w:t xml:space="preserve">2B</w:t>
      </w:r>
      <w:r>
        <w:rPr>
          <w:color w:val="000000"/>
          <w:sz w:val="24"/>
          <w:szCs w:val="24"/>
        </w:rPr>
        <w:t xml:space="preserve">- and α</w:t>
      </w:r>
      <w:r>
        <w:rPr>
          <w:color w:val="000000"/>
          <w:position w:val="-4"/>
          <w:sz w:val="21"/>
          <w:szCs w:val="21"/>
          <w:vertAlign w:val="subscript"/>
        </w:rPr>
        <w:t xml:space="preserve">2C</w:t>
      </w:r>
      <w:r>
        <w:rPr>
          <w:color w:val="000000"/>
          <w:sz w:val="24"/>
          <w:szCs w:val="24"/>
        </w:rPr>
        <w:t xml:space="preserve">-KO mice. 2) The effect of both drugs was antagonized by the non selective α</w:t>
      </w:r>
      <w:r>
        <w:rPr>
          <w:color w:val="000000"/>
          <w:position w:val="-4"/>
          <w:sz w:val="21"/>
          <w:szCs w:val="21"/>
          <w:vertAlign w:val="subscript"/>
        </w:rPr>
        <w:t xml:space="preserve">2</w:t>
      </w:r>
      <w:r>
        <w:rPr>
          <w:color w:val="000000"/>
          <w:sz w:val="24"/>
          <w:szCs w:val="24"/>
        </w:rPr>
        <w:t xml:space="preserve">-adrenoceptor and imidazoline antagonist idazoxan (10000 nM) and by the selective α</w:t>
      </w:r>
      <w:r>
        <w:rPr>
          <w:color w:val="000000"/>
          <w:position w:val="-4"/>
          <w:sz w:val="21"/>
          <w:szCs w:val="21"/>
          <w:vertAlign w:val="subscript"/>
        </w:rPr>
        <w:t xml:space="preserve">2A</w:t>
      </w:r>
      <w:r>
        <w:rPr>
          <w:color w:val="000000"/>
          <w:sz w:val="24"/>
          <w:szCs w:val="24"/>
        </w:rPr>
        <w:t xml:space="preserve">-adrenoceptor antagonist BRL 44408 (10000 nM). 3) Neither moxonidine, nor rilmenidine inhibited the gastric contractions in α</w:t>
      </w:r>
      <w:r>
        <w:rPr>
          <w:color w:val="000000"/>
          <w:position w:val="-4"/>
          <w:sz w:val="21"/>
          <w:szCs w:val="21"/>
          <w:vertAlign w:val="subscript"/>
        </w:rPr>
        <w:t xml:space="preserve">2A</w:t>
      </w:r>
      <w:r>
        <w:rPr>
          <w:color w:val="000000"/>
          <w:sz w:val="24"/>
          <w:szCs w:val="24"/>
        </w:rPr>
        <w:t xml:space="preserve">-KO mice. 4) The selective I1-ligand AGN 192403 (1-10000 nM) failed to affect the EFS-induced contractions in wild type mice. Conclusion: Our results obtained from genetically engineered mice strongly suggest that α</w:t>
      </w:r>
      <w:r>
        <w:rPr>
          <w:color w:val="000000"/>
          <w:position w:val="-4"/>
          <w:sz w:val="21"/>
          <w:szCs w:val="21"/>
          <w:vertAlign w:val="subscript"/>
        </w:rPr>
        <w:t xml:space="preserve">2A</w:t>
      </w:r>
      <w:r>
        <w:rPr>
          <w:color w:val="000000"/>
          <w:sz w:val="24"/>
          <w:szCs w:val="24"/>
        </w:rPr>
        <w:t xml:space="preserve">-adrenoceptors, and not imidazoline receptors mediate the inhibitory effect of imidazoline ligands on the gastric motility.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78260">
    <w:multiLevelType w:val="hybridMultilevel"/>
    <w:lvl w:ilvl="0" w:tplc="66915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78260">
    <w:abstractNumId w:val="87978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642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