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BÁLINT TRIMMEL</w:t>
            </w:r>
          </w:p>
          <w:p w:rsidR="00C275A3" w:rsidRDefault="00A96AEC" w:rsidP="00C275A3">
            <w:pPr>
              <w:pStyle w:val="Hallgatokepzes"/>
            </w:pPr>
            <w:r>
              <w:t>dentist</w:t>
            </w:r>
            <w:r>
              <w:br/>
            </w:r>
            <w:r w:rsidR="00E77B23">
              <w:t>Unified, 10. semester</w:t>
            </w:r>
          </w:p>
          <w:p w:rsidR="00C265CE" w:rsidRPr="009E5FF1" w:rsidRDefault="00E77B23" w:rsidP="00C275A3">
            <w:pPr>
              <w:pStyle w:val="Hallgatokepzes"/>
              <w:rPr>
                <w:b/>
                <w:caps/>
              </w:rPr>
            </w:pPr>
            <w:r>
              <w:t>Semmelweis University</w:t>
            </w:r>
            <w:r w:rsidR="00C275A3">
              <w:br/>
            </w:r>
            <w:r w:rsidR="00DB4822">
              <w:t>Faculty of Dentistry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Anna Földes</w:t>
            </w:r>
          </w:p>
          <w:p w:rsidR="00DB4822" w:rsidRDefault="00DB4822" w:rsidP="00E11062">
            <w:pPr>
              <w:pStyle w:val="Konzulensek"/>
            </w:pPr>
            <w:r w:rsidRPr="00DB4822">
              <w:t> research fellow, SE FOK</w:t>
            </w:r>
          </w:p>
        </w:tc>
      </w:tr>
      <w:tr w:rsidR="00DB4822" w:rsidTr="00DB4822">
        <w:tc>
          <w:tcPr>
            <w:tcW w:w="9854" w:type="dxa"/>
          </w:tcPr>
          <w:p w:rsidR="00DB4822" w:rsidRPr="00DB4822" w:rsidRDefault="00DB4822" w:rsidP="004D7940">
            <w:pPr>
              <w:pStyle w:val="Konzulensek"/>
            </w:pPr>
            <w:r w:rsidRPr="00DB4822">
              <w:t>Dr. Gábor Varga</w:t>
            </w:r>
          </w:p>
          <w:p w:rsidR="00DB4822" w:rsidRDefault="00DB4822" w:rsidP="00E11062">
            <w:pPr>
              <w:pStyle w:val="Konzulensek"/>
            </w:pPr>
            <w:r w:rsidRPr="00DB4822">
              <w:t>university professor, SE FOK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 Functional two-dimensional human salivary gland in vitro</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In our previous studies we succeeded in isolating human salivary gland derived epithelial progenitor cells and differentiating them into acinar type cells.</w:t>
      </w:r>
      <w:r>
        <w:rPr>
          <w:color w:val="000000"/>
          <w:sz w:val="24"/>
          <w:szCs w:val="24"/>
        </w:rPr>
        <w:br/>
        <w:t xml:space="preserve">The aim of the present study was to improve and optimize the culturing protocol and conditions, to form a two-dimensional cell monolayer and to characterize the secretory function of the created model.</w:t>
      </w:r>
      <w:r>
        <w:rPr>
          <w:color w:val="000000"/>
          <w:sz w:val="24"/>
          <w:szCs w:val="24"/>
        </w:rPr>
        <w:br/>
        <w:t xml:space="preserve">Methods: Salivary gland samples were obtained from patients that had undergone cervical block dissection but no radiotherapy. By enzymatic digestion of the samples two kinds of primary cell cultures were established, huSMG and PTHSG. Culturing was performed under standard conditions using MEM and HepatoStim media. Cells were then transferred on Transwell Clear membranes where confluent polarized monolayers were formed. During differentiation the expression of transporters involved in electrolyte secretion was quantified by reverse transcription followed by quantitative PCR (RT-qPCR). Ion transport was assessed by measuring short-circuit current (Isc) in a Ussing Chamber.</w:t>
      </w:r>
      <w:r>
        <w:rPr>
          <w:color w:val="000000"/>
          <w:sz w:val="24"/>
          <w:szCs w:val="24"/>
        </w:rPr>
        <w:br/>
        <w:t xml:space="preserve">Results: When using the optimized culture conditions, cells formed monolayers in 5 to 7 days. Transepithelial resistance of confluent epithelia was ˜1000 ohm*cm2, a proof of forming tight monolayers. NBC1, NHE1, NKCC1, ENaC, AE2 and AE3, transporters present in normal salivary gland tissue, were detected on cell cultures growing on plastic and on Transwell membranes during differentiation. Changes in the expression of the transporters was measured using RT-qPCR. Basolateral to apical Cl- and HCO3- transport (characteristic of acinar cells) and in addition an apical to basolateral Na+ transport (characteristic of ductal cells) was detected. Chloride supply was mainly provided by the bumetanide-sensitive NKCC1 channel, while Na+ antiport is maintained by the EnaC channel. Secretion is regulated by calcium-mediated pathways activated by purinergic and cholinergic stimulation but not by cAMP-mediated pathways.</w:t>
      </w:r>
      <w:r>
        <w:rPr>
          <w:color w:val="000000"/>
          <w:sz w:val="24"/>
          <w:szCs w:val="24"/>
        </w:rPr>
        <w:br/>
        <w:t xml:space="preserve">Conclusion: The presence of transporters involved in vectorial electrolyte transport in our optimized two-dimensional salivary gland model was detected by gene expression analysis and functional assays. We found that our model displayed both acinar and ductal cell characteristics. It may help to establish the basis for future pharmacological or gene therapeutic interventions to correct salivary gland dysfunction.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228897">
    <w:multiLevelType w:val="hybridMultilevel"/>
    <w:lvl w:ilvl="0" w:tplc="201098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228897">
    <w:abstractNumId w:val="4922889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7734912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