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GELLERT LEVENTE, JOOS-KOVACS</w:t>
            </w:r>
          </w:p>
          <w:p w:rsidR="00C275A3" w:rsidRDefault="00A96AEC" w:rsidP="00C275A3">
            <w:pPr>
              <w:pStyle w:val="Hallgatokepzes"/>
            </w:pPr>
            <w:r>
              <w:t>dentist</w:t>
            </w:r>
            <w:r>
              <w:br/>
            </w:r>
            <w:r w:rsidR="00E77B23">
              <w:t>Unified, 8.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PETER ISTVAN, KUHAJDA DR.</w:t>
            </w:r>
          </w:p>
          <w:p w:rsidR="00DB4822" w:rsidRDefault="00C275A3" w:rsidP="004D7940">
            <w:pPr>
              <w:pStyle w:val="Hallgatokepzes"/>
            </w:pPr>
            <w:r>
              <w:t>dentist</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Dentistry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Balint, Molnar Dr.</w:t>
            </w:r>
          </w:p>
          <w:p w:rsidR="00DB4822" w:rsidRDefault="00DB4822" w:rsidP="00E11062">
            <w:pPr>
              <w:pStyle w:val="Konzulensek"/>
            </w:pPr>
            <w:r w:rsidRPr="00DB4822">
              <w:t>professor's assistant, SE FOK</w:t>
            </w:r>
          </w:p>
        </w:tc>
      </w:tr>
      <w:tr w:rsidR="00DB4822" w:rsidTr="00DB4822">
        <w:tc>
          <w:tcPr>
            <w:tcW w:w="9854" w:type="dxa"/>
          </w:tcPr>
          <w:p w:rsidR="00DB4822" w:rsidRPr="00DB4822" w:rsidRDefault="00DB4822" w:rsidP="004D7940">
            <w:pPr>
              <w:pStyle w:val="Konzulensek"/>
            </w:pPr>
            <w:r w:rsidRPr="00DB4822">
              <w:t>Peter, Windisch Dr.</w:t>
            </w:r>
          </w:p>
          <w:p w:rsidR="00DB4822" w:rsidRDefault="00DB4822" w:rsidP="00E11062">
            <w:pPr>
              <w:pStyle w:val="Konzulensek"/>
            </w:pPr>
            <w:r w:rsidRPr="00DB4822">
              <w:t>professor,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quantitative evaluation of early wound healing characteristics following treatment of multiple Miller Class I-II recessions with the modified coronally advanced tunnel technique by means of a bioresorbable collagen matrix (Mucograft®) or a connective tissue graft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Aims: Root coverage and changes in soft tissue dimensions following surgical treatment of multiple gingival recessions can be evaluated quantitatively by means of pre- and postoperative clinical measurements. Nevertheless, only limited literature data exists concerning early wound healing events following root coverage procedures of multiple gingival recessions. The aim of our investigations was to introduce a novel quantitative evaluation methodology of early wound healing characteristics following treatment of multiple Miller-Class I, II recessions using the modified coronally advanced tunnel (MCAT) technique either with a bioresorbable collagen matrix or a subepithelial connective tissue graft (SCTG).</w:t>
      </w:r>
      <w:r>
        <w:rPr>
          <w:color w:val="000000"/>
          <w:sz w:val="24"/>
          <w:szCs w:val="24"/>
        </w:rPr>
        <w:br/>
        <w:t xml:space="preserve">Materials and methods: Twenty-two subjects exhibiting bilateral multiple Miller-Class I, II recessions were treated in a split mouth design using the MCAT with either a bioresorbable collagen matrix (Mucograft®, Geistlich, Wolhusen, Switzerland) (test) or a SCTG (control). Quantitative evaluation of early wound healing events was performed by the newly introduced Early Wound Healing Score (EWHS). Following wound healing characteristics were evaluated at baseline and 3, 7, 10, 14, 28 days postoperatively: gingival erythema, postoperative odema, fibrin exsudate, spontaneous bleeding. Suture insufficiencies, plaque accumulation and postoperative patient complaints were also registered. Differences in EWHS values were analysed in relation to postoperative root coverage and gain of keratinised tissues 12 months after surgery.</w:t>
      </w:r>
      <w:r>
        <w:rPr>
          <w:color w:val="000000"/>
          <w:sz w:val="24"/>
          <w:szCs w:val="24"/>
        </w:rPr>
        <w:br/>
        <w:t xml:space="preserve">Results: Different early wound healing characteristics were observed, EWHS values were lower at test sites when compared to control. (Day 3: 3,86±1,61 vs. 4,68±1,46; Day 7: 2,09±1,27 vs. 2,73±1,64; Day 10: 0,59±0,67 vs. 1,41±1,18; Day14: 0,82±0,66 vs. 1,09±0,97, Day28: 0,04±0,21 vs. 0,14±0,35). Nevertheless, these differences did not correlate with final treatment outcomes, as both treatment modalities resulted in substantial mean root coverage and gain of keratinised tissues.</w:t>
      </w:r>
      <w:r>
        <w:rPr>
          <w:color w:val="000000"/>
          <w:sz w:val="24"/>
          <w:szCs w:val="24"/>
        </w:rPr>
        <w:br/>
        <w:t xml:space="preserve">Conclusion: Based on early wound healing observations, it can be concluded, that i) treatment with CAMT+Mucograft® resulted in moderate tissue reactions compared to CAMT+SCTG ii) Mucograft® may represent a valuable alternative to SCTG, resulting in uneventful wound healing and lower patient morbidity.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10176">
    <w:multiLevelType w:val="hybridMultilevel"/>
    <w:lvl w:ilvl="0" w:tplc="27368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10176">
    <w:abstractNumId w:val="56410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930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