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KOCSIS</w:t>
            </w:r>
          </w:p>
          <w:p w:rsidR="00C275A3" w:rsidRDefault="00A96AEC" w:rsidP="00C275A3">
            <w:pPr>
              <w:pStyle w:val="Hallgatokepzes"/>
            </w:pPr>
            <w:r>
              <w:t>Studie of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ZSUZSANNA TÓTH</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Márk Juhász M.D., Ph.D</w:t>
            </w:r>
          </w:p>
          <w:p w:rsidR="00DB4822" w:rsidRDefault="00DB4822" w:rsidP="00E11062">
            <w:pPr>
              <w:pStyle w:val="Konzulensek"/>
            </w:pPr>
            <w:r w:rsidRPr="00DB4822">
              <w:t>Assoc.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retrospective processing of the experience gained from the investigation and care of adult patients treated in the last 14 years in our celiac center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charts of all patients with coeliac disease treated at the 2nd Department of Medicine, Semmelweis University were evaluated.</w:t>
      </w:r>
    </w:p>
    <w:p>
      <w:pPr>
        <w:widowControl w:val="on"/>
        <w:pBdr/>
        <w:spacing w:before="240" w:after="240" w:line="240" w:lineRule="auto"/>
        <w:ind w:left="0" w:right="0"/>
        <w:jc w:val="left"/>
      </w:pPr>
      <w:r>
        <w:rPr>
          <w:color w:val="000000"/>
          <w:sz w:val="24"/>
          <w:szCs w:val="24"/>
        </w:rPr>
        <w:t xml:space="preserve">Methods: The authors retrospectively analysed the results of a total of 178 patients with coeliac disease (139 females; mean age 38 years; range, 18–78 years) atteding the centre between 1997 and 2011. The authors routinely performed the following investigations in patients with suspected coeliac disease: multiple biopsies taken from the duodenum, tissue transglutaminase antibody or endomysial antibody based serology, body mass index calculation, osteodensitometry, evaluation of disorders associated with coeliac disease, implementation of family-screening for coeliac disease given the agreement of the index patients.</w:t>
      </w:r>
    </w:p>
    <w:p>
      <w:pPr>
        <w:widowControl w:val="on"/>
        <w:pBdr/>
        <w:spacing w:before="240" w:after="240" w:line="240" w:lineRule="auto"/>
        <w:ind w:left="0" w:right="0"/>
        <w:jc w:val="left"/>
      </w:pPr>
      <w:r>
        <w:rPr>
          <w:color w:val="000000"/>
          <w:sz w:val="24"/>
          <w:szCs w:val="24"/>
        </w:rPr>
        <w:t xml:space="preserve">Results: Histological samples were available in 133 cases, and distributions of data according to the Marsh-classification were as follows: negative in 7%, M1-M2 4% M3a in 26%, M3b in 13%, and M3c in 50% of cases, respectively. Serological results were available in 158 cases. 132/158 (83%) showed seropositivity. BMI was calculated for 127 patients, and the mean value for males was 23,05 kg/m2 (range, 17–31.5 kg/m2), whereas the mean value for females was 21.07 kg/m2 (range, 15.2–33.5 kg/m2). ODM was performed in 113 patients; 52 patients (46%) proved normal, 41 (36%) had osteopenia, and 20 (18%) had osteoporosis. Coeliac disease associated disorders were present in 63/178 patients (13 males). The two most common associated disorders were: 23 dermatitis herpetiformis Duhring, 20 thyroid diseases (6 hypo- and 14 hyperthyroidism). Ninety of the 178 index patients brought totally 197 first-degree relatives for family screening (serology), where 47/197 (23,8%; 33 females) first-degree relatives proved to suffer from coeliac disease.</w:t>
      </w:r>
    </w:p>
    <w:p>
      <w:pPr>
        <w:widowControl w:val="on"/>
        <w:pBdr/>
        <w:spacing w:before="240" w:after="240" w:line="240" w:lineRule="auto"/>
        <w:ind w:left="0" w:right="0"/>
        <w:jc w:val="left"/>
      </w:pPr>
      <w:r>
        <w:rPr>
          <w:color w:val="000000"/>
          <w:sz w:val="24"/>
          <w:szCs w:val="24"/>
        </w:rPr>
        <w:t xml:space="preserve">Conclusions: The age distribution of this cohort demonstrates that coeliac disease can present at any age. Similarly to those of other coeliac disease centres, female predominance is significant. Histology usually showed advanced villous atrophy. Serological results were usually in conjunction with the histological results and proved to be useful for monitoring dietary compliance and for accomplishing family screening. The mean BMI values were in the normal range confirming that adult patients with coeliac disease are usually not malnourished. The 24% prevalence of coeliac disease among first-degree relatives underlines the necessity of family screening.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75698">
    <w:multiLevelType w:val="hybridMultilevel"/>
    <w:lvl w:ilvl="0" w:tplc="57315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75698">
    <w:abstractNumId w:val="41475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469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