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RÓZSA CSOHÁNY</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Kálmán Tory MD</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Mutation rate of NPHS2 and WT1 in Hungarian children with steroid-resistant nephrotic syndrome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Steroid-resistant nephrotic syndrome (SRNS) is common cause of childhood end-stage renal disease (ESRD), being responsible for its 6-7%. Based on its etiology, two major forms have been distinguished, an immune and a genetic form. As their treatment is different, their differentiation is important, but in the majority of cases only possible by mutational screening. Therefore, our aim was to introduce the mutational screening of the two most frequently mutated genes, NPHS2 and WT1.</w:t>
      </w:r>
      <w:r>
        <w:rPr>
          <w:color w:val="000000"/>
          <w:sz w:val="24"/>
          <w:szCs w:val="24"/>
        </w:rPr>
        <w:br/>
        <w:t xml:space="preserve">First, we introduced the clinical data of 46 children treated for SRNS in a biobank. We sequenced by Sanger sequencing the eight coding exons and splicing junctions of NPHS2 in 38 patients with non-syndromic SRNS. In patients with an onset above the age of 14 years (n=3), first the c.686G&gt;A polymorphism (p.R229Q) was screened by sequencing exon 5, and the other exons were sequenced in case of its presence. Exons 8 and 9 of WT1 were sequenced in 14 children (7 girls). The mutational screening was performed in three different laboratories (Ist Department of Pediatrics, Semmelweis University, Necker Hospital, Paris; University of Michigan, Ann Arbor).</w:t>
      </w:r>
      <w:r>
        <w:rPr>
          <w:color w:val="000000"/>
          <w:sz w:val="24"/>
          <w:szCs w:val="24"/>
        </w:rPr>
        <w:br/>
        <w:t xml:space="preserve">NPHS2 mutations were found in 10/38 patients (26%). Two children carried a homozygous missense mutation, while 5 were compound heterozygous for NPHS2 mutations. In three patients only a single heterozygous mutation was found. The phenotype of all but two patients with two mutated alleles corresponded to the classical NPHS2-associated phenotype, as they developed nephrotic syndrome between the ages of 3 months and 5 years, and progressed to ESRD in five cases, always before the age of 10 years. In contrast, the phenotype of two young adults carrying the p.V290M mutation was extremely mild, they were accidentally diagnosed with nephrotic-range proteinuria at the age of 10 and 14 years, and currently have a normal renal function at the age of 18 and 31 years. WT1 mutation was found in a single case, that of a boy with Denys-Drash syndrome.</w:t>
      </w:r>
      <w:r>
        <w:rPr>
          <w:color w:val="000000"/>
          <w:sz w:val="24"/>
          <w:szCs w:val="24"/>
        </w:rPr>
        <w:br/>
        <w:t xml:space="preserve">The high mutation rate of NPHS2, which corresponds to that of international cohorts, highlights the importance of the mutational screening, as it makes possible to avoid the unnecessary side-effects of immunsuppressive treatment. Based on the mild phenotype of patients with p.V290M mutation, we propose the screening of this variant in late-onset SRNS either.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61158">
    <w:multiLevelType w:val="hybridMultilevel"/>
    <w:lvl w:ilvl="0" w:tplc="80966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61158">
    <w:abstractNumId w:val="75761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965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