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ÁGOTA</w:t>
            </w:r>
          </w:p>
          <w:p w:rsidR="00C275A3" w:rsidRDefault="00A96AEC" w:rsidP="00C275A3">
            <w:pPr>
              <w:pStyle w:val="Hallgatokepzes"/>
            </w:pPr>
            <w:r>
              <w:t>ÁOK</w:t>
            </w:r>
            <w:r>
              <w:br/>
            </w:r>
            <w:r w:rsidR="00E77B23">
              <w:t>Osztatlan, 14.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SZÉLL ERZSÉBET</w:t>
            </w:r>
          </w:p>
          <w:p w:rsidR="00DB4822" w:rsidRDefault="00C275A3" w:rsidP="004D7940">
            <w:pPr>
              <w:pStyle w:val="Hallgatokepzes"/>
            </w:pPr>
            <w:r>
              <w:t>Általános orvostudományi szak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Intrauterin gyulladás gyakorisága újszülöttkori aszfixia és hipoxiás enkefalopátia hátterében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újszülöttkori aszfixia napjainkban is vezető oka a gyermekkorban szerzett maradandó idegrendszeri károsodásoknak. Hátterében elsősorban a fötális gázcsere zavarát okozó méhlepényi keringési rendellenességek állnak. Ugyanakkor a méhen belüli gyulladás szerepe a maradandó idegrendszeri károsodás kialakulásában egyre inkább az érdeklődés homlokterébe kerül.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annak megállapítása, hogy milyen gyakori az intrauterin gyulladás illetve a placenták egyéb hisztológiai eltérései az érett aszfixiás újszülöttek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 I. Sz. Gyermekklinikán 2009. november – 2011. december között, 34 szülési aszfixia és hipoxiás enkefalopátia diagnózissal kezelt újszülött méhlepényét vizsgáltuk meg. A kontroll csoporthoz a SE II. Sz. Szülészeti Klinikáról 32 egészséges újszülött placentáját dolgoztuk fel. A méhlepényeket makroszkópos, CT-angiográfiás és konvencionális szövettani vizsgálatoknak vetettük alá. Az adatok kiértékeléséhez Chi-négyzet és Mann-Whitney’s U teszteket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szövettani eredmények között az aszfixiás csoportban 21/34 esetben fordult elő chorioamnionitis (3 súlyos, 8 középsúlyos, 10 enyhe); Egyéb hisztológiai eltérések: 12/34 boholyérési zavar; 17/34 infarktus (5 friss, 12 régi); 8/34 thrombus; 8/34 endangiopathia obliterans; 7/34 foetalis thrombotikus vasculopathia (FTV); 2/34 ismeretlen eredetű villitis. Az esetleg klinikai jelentőséggel bíró súlyos- középsúlyos chorioamnionitis gyakorisága 32 % volt anyagunkban. Az egészséges csoportban chorioamnionitist 3/32, boholyérészavart 4/32, infarktust összesen 5/32 esetben, thrombust 8/32, endangiopathia obliteranst 4/32 méhlepényben találtunk, FTV-t nem találtunk ebben a csoportban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érett aszfixiás újszülöttek méhlepényében feltűnően gyakoriak a gyulladásos és egyéb hisztológai eltérések. Chorioamnionitist, FTV-t boholyérészavart, és régi infarktust szignifikánsan magasabb arányban találtunk a beteg csoportban. További célkitűzésünk annak vizsgálata, hogy a placentákban talált eltérések hogyan befolyásolják az enkefalopátia súlyosságát és a hosszútávú gyógyhajlamot.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76414">
    <w:multiLevelType w:val="hybridMultilevel"/>
    <w:lvl w:ilvl="0" w:tplc="54109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76414">
    <w:abstractNumId w:val="80976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783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