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ÁGOTA NÉMETH</w:t>
            </w:r>
          </w:p>
          <w:p w:rsidR="00C275A3" w:rsidRDefault="00A96AEC" w:rsidP="00C275A3">
            <w:pPr>
              <w:pStyle w:val="Hallgatokepzes"/>
            </w:pPr>
            <w:r>
              <w:t>General medicine</w:t>
            </w:r>
            <w:r>
              <w:br/>
            </w:r>
            <w:r w:rsidR="00E77B23">
              <w:t>Unified, 14.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ERZSÉBET SZÉLL</w:t>
            </w:r>
          </w:p>
          <w:p w:rsidR="00DB4822" w:rsidRDefault="00C275A3" w:rsidP="004D7940">
            <w:pPr>
              <w:pStyle w:val="Hallgatokepzes"/>
            </w:pPr>
            <w:r>
              <w:t>General medicine</w:t>
            </w:r>
            <w:r w:rsidR="00A96AEC">
              <w:br/>
              <w:t>Unified, 10.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Szabó MD, PhD</w:t>
            </w:r>
          </w:p>
          <w:p w:rsidR="00DB4822" w:rsidRDefault="00DB4822" w:rsidP="00E11062">
            <w:pPr>
              <w:pStyle w:val="Konzulensek"/>
            </w:pPr>
            <w:r w:rsidRPr="00DB4822">
              <w:t>assistant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frequency of intrauterin inflammation in the background of newborn asphyxia and hypoxic encephalopathy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Today newborn asphyxia is still the leading reason for permanent damage to the nervous system acquired in childhood. The main causes are the dysfunctions of circulation in the placenta, which result in the disturbance in the fetal gas exchange. At the same time the role of inflammation within the womb in causing permanent damage to the nervous system has become quite highlighted in research.Our aim is to determine how common intrauterine inflammation and other histological deviance of the placenta is among mature asphyxic newborns.</w:t>
      </w:r>
    </w:p>
    <w:p>
      <w:pPr>
        <w:widowControl w:val="on"/>
        <w:pBdr/>
        <w:spacing w:before="240" w:after="240" w:line="240" w:lineRule="auto"/>
        <w:ind w:left="0" w:right="0"/>
        <w:jc w:val="left"/>
      </w:pPr>
      <w:r>
        <w:rPr>
          <w:color w:val="000000"/>
          <w:sz w:val="24"/>
          <w:szCs w:val="24"/>
        </w:rPr>
        <w:t xml:space="preserve">Methods:</w:t>
      </w:r>
    </w:p>
    <w:p>
      <w:pPr>
        <w:widowControl w:val="on"/>
        <w:pBdr/>
        <w:spacing w:before="240" w:after="240" w:line="240" w:lineRule="auto"/>
        <w:ind w:left="0" w:right="0"/>
        <w:jc w:val="left"/>
      </w:pPr>
      <w:r>
        <w:rPr>
          <w:color w:val="000000"/>
          <w:sz w:val="24"/>
          <w:szCs w:val="24"/>
        </w:rPr>
        <w:t xml:space="preserve">We examined 34 placentas of newborns diagnosed and treated for asphyxia and hypoxic encephalopathy between November, 2009 and December, 2011 at the 1st Department of Paediatrics Semmelweis University. For the control group we worked with 32 placentas of healthy newborns from the 2nd Department of Obstetrics and Gynaecology Semmelweis University.The placentas were subjected to macroscopic CT-angiography and conventional histological study. We used Chi– squared test and Mann- Whitney’s U test in order to interpret our results.</w:t>
      </w:r>
    </w:p>
    <w:p>
      <w:pPr>
        <w:widowControl w:val="on"/>
        <w:pBdr/>
        <w:spacing w:before="240" w:after="240" w:line="240" w:lineRule="auto"/>
        <w:ind w:left="0" w:right="0"/>
        <w:jc w:val="left"/>
      </w:pPr>
      <w:r>
        <w:rPr>
          <w:color w:val="000000"/>
          <w:sz w:val="24"/>
          <w:szCs w:val="24"/>
        </w:rPr>
        <w:t xml:space="preserve">Results:</w:t>
      </w:r>
    </w:p>
    <w:p>
      <w:pPr>
        <w:widowControl w:val="on"/>
        <w:pBdr/>
        <w:spacing w:before="240" w:after="240" w:line="240" w:lineRule="auto"/>
        <w:ind w:left="0" w:right="0"/>
        <w:jc w:val="left"/>
      </w:pPr>
      <w:r>
        <w:rPr>
          <w:color w:val="000000"/>
          <w:sz w:val="24"/>
          <w:szCs w:val="24"/>
        </w:rPr>
        <w:t xml:space="preserve">Among the asphyxic group the histological results yielded that 21 out of 34 cases had chorioamnionitis (3 severe, 8 moderate,10 mild). Other histological deviance: 12/34 villous-maturation defect; 17/34 infarct (5 fresh, 12 old); 8/34 thrombus; 8/34 endangiopathia obliterans; 7/34 fetal thrombotic vasculopathy (FTV); 2/34 villitis of unknown origin. The frequency of severe and moderate chorioamnionitis which has probable clinical significance was 32% in our study. In the healthy group we found chorioamnionitist in 3/32, villous-maturation defect in 4/32, infarct in 5/32 cases, thrombus in 8/32, endangiopathia obliterans in 4/32 placentas, we did not find FTV-t at all in this group.</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Inflammation and other histological deviances are markedly common in the placentas of mature asphyxic newborns. We found chorioamnionitist, FTV, villous- maturation defect, and old infarct in significantly larger percentage among the group of sick placentas. We would like to further examine how the deviances found in the placentas influence the severity of encephalopathy and long-term outcome.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903292">
    <w:multiLevelType w:val="hybridMultilevel"/>
    <w:lvl w:ilvl="0" w:tplc="59283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903292">
    <w:abstractNumId w:val="839032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37535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