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BOGDÁN</w:t>
            </w:r>
          </w:p>
          <w:p w:rsidR="00C275A3" w:rsidRDefault="00A96AEC" w:rsidP="00C275A3">
            <w:pPr>
              <w:pStyle w:val="Hallgatokepzes"/>
            </w:pPr>
            <w:r>
              <w:t>pharmacy</w:t>
            </w:r>
            <w:r>
              <w:br/>
            </w:r>
            <w:r w:rsidR="00E77B23">
              <w:t>Unified, 8. semester</w:t>
            </w:r>
          </w:p>
          <w:p w:rsidR="00C265CE" w:rsidRPr="009E5FF1" w:rsidRDefault="00E77B23" w:rsidP="00C275A3">
            <w:pPr>
              <w:pStyle w:val="Hallgatokepzes"/>
              <w:rPr>
                <w:b/>
                <w:caps/>
              </w:rPr>
            </w:pPr>
            <w:r>
              <w:t>Semmelweis University</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Mátyus</w:t>
            </w:r>
          </w:p>
          <w:p w:rsidR="00DB4822" w:rsidRDefault="00DB4822" w:rsidP="00E11062">
            <w:pPr>
              <w:pStyle w:val="Konzulensek"/>
            </w:pPr>
            <w:r w:rsidRPr="00DB4822">
              <w:t>professor, SE GYTK</w:t>
            </w:r>
          </w:p>
        </w:tc>
      </w:tr>
      <w:tr w:rsidR="00DB4822" w:rsidTr="00DB4822">
        <w:tc>
          <w:tcPr>
            <w:tcW w:w="9854" w:type="dxa"/>
          </w:tcPr>
          <w:p w:rsidR="00DB4822" w:rsidRPr="00DB4822" w:rsidRDefault="00DB4822" w:rsidP="004D7940">
            <w:pPr>
              <w:pStyle w:val="Konzulensek"/>
            </w:pPr>
            <w:r w:rsidRPr="00DB4822">
              <w:t>Dr Tamás Gáti</w:t>
            </w:r>
          </w:p>
          <w:p w:rsidR="00DB4822" w:rsidRDefault="00DB4822" w:rsidP="00E11062">
            <w:pPr>
              <w:pStyle w:val="Konzulensek"/>
            </w:pPr>
            <w:r w:rsidRPr="00DB4822">
              <w:t>researcher,  Servier Research Institute of Medicinal Chemistry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Structure elucidation of stereo- and constitutional isomers with modern NMR spectroscopy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Structure determination of small molecules with NMR spectroscopy is generally considered as a routine task; our own examples however demonstrate that it may be rather challenging to unambiguously identify constitutional and/or stereo isomers. In this study we present some of our results related to the NMR studies on two series of molecules: we investigated the geometry isomerism of pharmacologically active 3-indolinon-hydrazones and two regioisomeric triazolopyridazines to make a precise assignment of structures.</w:t>
      </w:r>
      <w:r>
        <w:rPr>
          <w:color w:val="000000"/>
          <w:sz w:val="24"/>
          <w:szCs w:val="24"/>
        </w:rPr>
        <w:br/>
        <w:t xml:space="preserve">Methods: In the hydrazone series of molecules </w:t>
      </w:r>
      <w:r>
        <w:rPr>
          <w:color w:val="000000"/>
          <w:position w:val="4"/>
          <w:sz w:val="21"/>
          <w:szCs w:val="21"/>
          <w:vertAlign w:val="superscript"/>
        </w:rPr>
        <w:t xml:space="preserve">1</w:t>
      </w:r>
      <w:r>
        <w:rPr>
          <w:color w:val="000000"/>
          <w:sz w:val="24"/>
          <w:szCs w:val="24"/>
        </w:rPr>
        <w:t xml:space="preserve">H-NMR, </w:t>
      </w:r>
      <w:r>
        <w:rPr>
          <w:color w:val="000000"/>
          <w:position w:val="4"/>
          <w:sz w:val="21"/>
          <w:szCs w:val="21"/>
          <w:vertAlign w:val="superscript"/>
        </w:rPr>
        <w:t xml:space="preserve">13</w:t>
      </w:r>
      <w:r>
        <w:rPr>
          <w:color w:val="000000"/>
          <w:sz w:val="24"/>
          <w:szCs w:val="24"/>
        </w:rPr>
        <w:t xml:space="preserve">C-NMR, </w:t>
      </w:r>
      <w:r>
        <w:rPr>
          <w:color w:val="000000"/>
          <w:position w:val="4"/>
          <w:sz w:val="21"/>
          <w:szCs w:val="21"/>
          <w:vertAlign w:val="superscript"/>
        </w:rPr>
        <w:t xml:space="preserve">19</w:t>
      </w:r>
      <w:r>
        <w:rPr>
          <w:color w:val="000000"/>
          <w:sz w:val="24"/>
          <w:szCs w:val="24"/>
        </w:rPr>
        <w:t xml:space="preserve">F-NMR, </w:t>
      </w:r>
      <w:r>
        <w:rPr>
          <w:color w:val="000000"/>
          <w:position w:val="4"/>
          <w:sz w:val="21"/>
          <w:szCs w:val="21"/>
          <w:vertAlign w:val="superscript"/>
        </w:rPr>
        <w:t xml:space="preserve">1</w:t>
      </w:r>
      <w:r>
        <w:rPr>
          <w:color w:val="000000"/>
          <w:sz w:val="24"/>
          <w:szCs w:val="24"/>
        </w:rPr>
        <w:t xml:space="preserve">H-</w:t>
      </w:r>
      <w:r>
        <w:rPr>
          <w:color w:val="000000"/>
          <w:position w:val="4"/>
          <w:sz w:val="21"/>
          <w:szCs w:val="21"/>
          <w:vertAlign w:val="superscript"/>
        </w:rPr>
        <w:t xml:space="preserve">13</w:t>
      </w:r>
      <w:r>
        <w:rPr>
          <w:color w:val="000000"/>
          <w:sz w:val="24"/>
          <w:szCs w:val="24"/>
        </w:rPr>
        <w:t xml:space="preserve">C-HSQC, -HMBC , </w:t>
      </w:r>
      <w:r>
        <w:rPr>
          <w:color w:val="000000"/>
          <w:position w:val="4"/>
          <w:sz w:val="21"/>
          <w:szCs w:val="21"/>
          <w:vertAlign w:val="superscript"/>
        </w:rPr>
        <w:t xml:space="preserve">1</w:t>
      </w:r>
      <w:r>
        <w:rPr>
          <w:color w:val="000000"/>
          <w:sz w:val="24"/>
          <w:szCs w:val="24"/>
        </w:rPr>
        <w:t xml:space="preserve">H-</w:t>
      </w:r>
      <w:r>
        <w:rPr>
          <w:color w:val="000000"/>
          <w:position w:val="4"/>
          <w:sz w:val="21"/>
          <w:szCs w:val="21"/>
          <w:vertAlign w:val="superscript"/>
        </w:rPr>
        <w:t xml:space="preserve">15</w:t>
      </w:r>
      <w:r>
        <w:rPr>
          <w:color w:val="000000"/>
          <w:sz w:val="24"/>
          <w:szCs w:val="24"/>
        </w:rPr>
        <w:t xml:space="preserve">N-HSQC and 1D NOE methods were applied (278K, DMF). In case of triazolopyridazines, </w:t>
      </w:r>
      <w:r>
        <w:rPr>
          <w:color w:val="000000"/>
          <w:position w:val="4"/>
          <w:sz w:val="21"/>
          <w:szCs w:val="21"/>
          <w:vertAlign w:val="superscript"/>
        </w:rPr>
        <w:t xml:space="preserve">1</w:t>
      </w:r>
      <w:r>
        <w:rPr>
          <w:color w:val="000000"/>
          <w:sz w:val="24"/>
          <w:szCs w:val="24"/>
        </w:rPr>
        <w:t xml:space="preserve">H-NMR, </w:t>
      </w:r>
      <w:r>
        <w:rPr>
          <w:color w:val="000000"/>
          <w:position w:val="4"/>
          <w:sz w:val="21"/>
          <w:szCs w:val="21"/>
          <w:vertAlign w:val="superscript"/>
        </w:rPr>
        <w:t xml:space="preserve">13</w:t>
      </w:r>
      <w:r>
        <w:rPr>
          <w:color w:val="000000"/>
          <w:sz w:val="24"/>
          <w:szCs w:val="24"/>
        </w:rPr>
        <w:t xml:space="preserve">C-NMR, </w:t>
      </w:r>
      <w:r>
        <w:rPr>
          <w:color w:val="000000"/>
          <w:position w:val="4"/>
          <w:sz w:val="21"/>
          <w:szCs w:val="21"/>
          <w:vertAlign w:val="superscript"/>
        </w:rPr>
        <w:t xml:space="preserve">1</w:t>
      </w:r>
      <w:r>
        <w:rPr>
          <w:color w:val="000000"/>
          <w:sz w:val="24"/>
          <w:szCs w:val="24"/>
        </w:rPr>
        <w:t xml:space="preserve">H-</w:t>
      </w:r>
      <w:r>
        <w:rPr>
          <w:color w:val="000000"/>
          <w:position w:val="4"/>
          <w:sz w:val="21"/>
          <w:szCs w:val="21"/>
          <w:vertAlign w:val="superscript"/>
        </w:rPr>
        <w:t xml:space="preserve">13</w:t>
      </w:r>
      <w:r>
        <w:rPr>
          <w:color w:val="000000"/>
          <w:sz w:val="24"/>
          <w:szCs w:val="24"/>
        </w:rPr>
        <w:t xml:space="preserve">C-HSQC, -HMBC, </w:t>
      </w:r>
      <w:r>
        <w:rPr>
          <w:color w:val="000000"/>
          <w:position w:val="4"/>
          <w:sz w:val="21"/>
          <w:szCs w:val="21"/>
          <w:vertAlign w:val="superscript"/>
        </w:rPr>
        <w:t xml:space="preserve">1</w:t>
      </w:r>
      <w:r>
        <w:rPr>
          <w:color w:val="000000"/>
          <w:sz w:val="24"/>
          <w:szCs w:val="24"/>
        </w:rPr>
        <w:t xml:space="preserve">H-</w:t>
      </w:r>
      <w:r>
        <w:rPr>
          <w:color w:val="000000"/>
          <w:position w:val="4"/>
          <w:sz w:val="21"/>
          <w:szCs w:val="21"/>
          <w:vertAlign w:val="superscript"/>
        </w:rPr>
        <w:t xml:space="preserve">15</w:t>
      </w:r>
      <w:r>
        <w:rPr>
          <w:color w:val="000000"/>
          <w:sz w:val="24"/>
          <w:szCs w:val="24"/>
        </w:rPr>
        <w:t xml:space="preserve">N-HSQC, -HMBC and 1D NOE methods were used for two sets of compounds.</w:t>
      </w:r>
      <w:r>
        <w:rPr>
          <w:color w:val="000000"/>
          <w:sz w:val="24"/>
          <w:szCs w:val="24"/>
        </w:rPr>
        <w:br/>
        <w:t xml:space="preserve">Results: 1. Indolinon-hydrazones. All but one compounds showed one set of signals in the NMR spectra. The selective NOE-experiments proved, their Z-geometric configuration. In case of the one exception, there appeared an additional signal set in the NMR spectra. Surprisingly, the same behaviour was observed for solutions of each compound after standing at room temperature for several days. Next we investigated the samples with HPLC-MS that verified the presence of two isomers with the same molar mass, suggesting at first glance that both E and Z isomers would be present. However, further NMR studies, including temperature dependent NMR experiments as well as </w:t>
      </w:r>
      <w:r>
        <w:rPr>
          <w:color w:val="000000"/>
          <w:position w:val="4"/>
          <w:sz w:val="21"/>
          <w:szCs w:val="21"/>
          <w:vertAlign w:val="superscript"/>
        </w:rPr>
        <w:t xml:space="preserve">1</w:t>
      </w:r>
      <w:r>
        <w:rPr>
          <w:color w:val="000000"/>
          <w:sz w:val="24"/>
          <w:szCs w:val="24"/>
        </w:rPr>
        <w:t xml:space="preserve">H-</w:t>
      </w:r>
      <w:r>
        <w:rPr>
          <w:color w:val="000000"/>
          <w:position w:val="4"/>
          <w:sz w:val="21"/>
          <w:szCs w:val="21"/>
          <w:vertAlign w:val="superscript"/>
        </w:rPr>
        <w:t xml:space="preserve">15</w:t>
      </w:r>
      <w:r>
        <w:rPr>
          <w:color w:val="000000"/>
          <w:sz w:val="24"/>
          <w:szCs w:val="24"/>
        </w:rPr>
        <w:t xml:space="preserve">N-HMBC method, clearly indicated that they are tautomeric forms of each other.</w:t>
      </w:r>
      <w:r>
        <w:rPr>
          <w:color w:val="000000"/>
          <w:sz w:val="24"/>
          <w:szCs w:val="24"/>
        </w:rPr>
        <w:br/>
        <w:t xml:space="preserve">2. Triazolopyridazines. In spite of thorough NMR studies, two regioisomers formed in the synthesis couldn’t be distinguished unambiguously. Chemical considerations and synthesis of their derivatives and subsequent careful spectroscopic analyses make possible to distinguish the two regioisomers.</w:t>
      </w:r>
      <w:r>
        <w:rPr>
          <w:color w:val="000000"/>
          <w:sz w:val="24"/>
          <w:szCs w:val="24"/>
        </w:rPr>
        <w:br/>
        <w:t xml:space="preserve">Conclusion: Structural elucidation of heterocyclic compounds can be challenging for conventional spectroscopic methods. In such cases combined use of spectroscopic and synthetic methods could be particular fruitful.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52150">
    <w:multiLevelType w:val="hybridMultilevel"/>
    <w:lvl w:ilvl="0" w:tplc="30135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52150">
    <w:abstractNumId w:val="767521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574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