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HETÉNYI GERGELY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Zelkó Romána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Vízoldékony hatóanyagú bukkális hordozórendszerek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TDK-munkám során olyan hordozórendszer fejlesztésén dolgoztam, amely alkalmassá teszi a hatóanyagot a bukkális szájnyálkahártyán át történő felszívódásra, ennek számos terápiás előnyével, mint a jobb biohasznosulás, vagy az invazív terápia helyettesíthetősége.</w:t>
      </w:r>
      <w:r>
        <w:rPr>
          <w:color w:val="000000"/>
          <w:sz w:val="24"/>
          <w:szCs w:val="24"/>
        </w:rPr>
        <w:br/>
        <w:t xml:space="preserve">Vízoldékony modellhatóanyagként a B</w:t>
      </w:r>
      <w:r>
        <w:rPr>
          <w:color w:val="000000"/>
          <w:position w:val="-4"/>
          <w:sz w:val="21"/>
          <w:szCs w:val="21"/>
          <w:vertAlign w:val="subscript"/>
        </w:rPr>
        <w:t xml:space="preserve">12</w:t>
      </w:r>
      <w:r>
        <w:rPr>
          <w:color w:val="000000"/>
          <w:sz w:val="24"/>
          <w:szCs w:val="24"/>
        </w:rPr>
        <w:t xml:space="preserve"> vitamin került kiválasztásra. A B</w:t>
      </w:r>
      <w:r>
        <w:rPr>
          <w:color w:val="000000"/>
          <w:position w:val="-4"/>
          <w:sz w:val="21"/>
          <w:szCs w:val="21"/>
          <w:vertAlign w:val="subscript"/>
        </w:rPr>
        <w:t xml:space="preserve">12</w:t>
      </w:r>
      <w:r>
        <w:rPr>
          <w:color w:val="000000"/>
          <w:sz w:val="24"/>
          <w:szCs w:val="24"/>
        </w:rPr>
        <w:t xml:space="preserve"> vitamin jó vízoldhatósággal rendelkezik, lipofil molekula, ugyanakkor nagy molekulatömege miatt (M= 1355,37 g/mol) a Biofarmáciai Osztályozási Rendszer III. csoportjába tartozik, vagyis jó oldékonyságú és rossz permeabilitású. A súlyos cianokobalamin hiányban (pl. gyomor eltávolítása, intrinsic faktor hiánya/mutációja) jelenlegi terápiás gyakorlatban az invazív terápiát jelentő parenterális terápia áll rendelkezésre, így egy B</w:t>
      </w:r>
      <w:r>
        <w:rPr>
          <w:color w:val="000000"/>
          <w:position w:val="-4"/>
          <w:sz w:val="21"/>
          <w:szCs w:val="21"/>
          <w:vertAlign w:val="subscript"/>
        </w:rPr>
        <w:t xml:space="preserve">12</w:t>
      </w:r>
      <w:r>
        <w:rPr>
          <w:color w:val="000000"/>
          <w:sz w:val="24"/>
          <w:szCs w:val="24"/>
        </w:rPr>
        <w:t xml:space="preserve"> vitamin tartalmú bukkális hordozórendszer formulálása nemcsak technológiai kihívás, hanem az injekciós alkalmazás alternatívájaként, terápiás szempontból is hasznos lehet.</w:t>
      </w:r>
      <w:r>
        <w:rPr>
          <w:color w:val="000000"/>
          <w:sz w:val="24"/>
          <w:szCs w:val="24"/>
        </w:rPr>
        <w:br/>
        <w:t xml:space="preserve">Bukkális filmeket állítottam elő kétféle technológiát alkalmazva: öntött filmeket oldószer-elpárologtatásos technikával, valamint liofilizálással készült filmeket (ostyákat). Filmképző és mukoadhezív segédanyagként nátrium-alginátot és Carbopol 71 G-t használtam. Intraorális gyógyszereknél fontos az íz javítása is, erre a célra az izomaltot használtam.</w:t>
      </w:r>
      <w:r>
        <w:rPr>
          <w:color w:val="000000"/>
          <w:sz w:val="24"/>
          <w:szCs w:val="24"/>
        </w:rPr>
        <w:br/>
        <w:t xml:space="preserve">A filmek mikroszerkezetét pozitron-annihilációs élettartam spektroszkópiával (PALS), homogenitásukat FTIR-rel vizsgáltam. A minták morfológiáját sztereomikroszkóppal, pásztázó elektronmikroszkóppal valamint mikro-CT-vel tanulmányoztam. In vitro kioldódás-vizsgálatot végeztem forgólapátos módszerrel. A minták stressz körülmények közötti (40 °C, 75 % R.H.) tárolás során bekövetkező szerkezetváltozását is vizsgáltam.</w:t>
      </w:r>
      <w:r>
        <w:rPr>
          <w:color w:val="000000"/>
          <w:sz w:val="24"/>
          <w:szCs w:val="24"/>
        </w:rPr>
        <w:br/>
        <w:t xml:space="preserve">A tárolás során bekövetkező mikroszerkezeti változást PALS módszerrel lehetett követni, ami a víztartalommal jó korrelációt mutatott. A mikroszerkezet, a makroszerkezet és a kioldódási profil között összefüggést találtunk, a mikroszerkezet változásából a kioldódási profil változására következtethetünk. A Carbopol jelenléte, az alginát mennyiségének növelése, valamint a liofilizálás a hatóanyag-leadás sebességét csökkentette. A penetrációt ex vivo vizsgálattal ellenőriztem, amelyhez módosított Ussing-kamrát és sertés bukkális nyálkahártyát használtam. A penetráció hatásfokának javításához záróréteget tartalmazó mintát is formuláltam, amely az egyirányú hatóanyag-diffúzió biztosításával növelte a nyálkahártyán átjutott hatóanyag mennyiségét.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761832">
    <w:multiLevelType w:val="hybridMultilevel"/>
    <w:lvl w:ilvl="0" w:tplc="52335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761832">
    <w:abstractNumId w:val="347618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636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