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HETÉNYI</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Romána Zelkó</w:t>
            </w:r>
          </w:p>
          <w:p w:rsidR="00DB4822" w:rsidRDefault="00DB4822" w:rsidP="00E11062">
            <w:pPr>
              <w:pStyle w:val="Konzulensek"/>
            </w:pPr>
            <w:r w:rsidRPr="00DB4822">
              <w:t>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water soluble substance containing buccal drug delivery systems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research I have been working on development of drug delivery systems that make suitable the substance for buccal absorption, taking the several therapeutic advantages, like better bioavailability or the therapeutic substitutability of the invasive therapy.</w:t>
      </w:r>
      <w:r>
        <w:rPr>
          <w:color w:val="000000"/>
          <w:sz w:val="24"/>
          <w:szCs w:val="24"/>
        </w:rPr>
        <w:br/>
        <w:t xml:space="preserve">Vitamine B</w:t>
      </w:r>
      <w:r>
        <w:rPr>
          <w:color w:val="000000"/>
          <w:position w:val="-4"/>
          <w:sz w:val="21"/>
          <w:szCs w:val="21"/>
          <w:vertAlign w:val="subscript"/>
        </w:rPr>
        <w:t xml:space="preserve">12</w:t>
      </w:r>
      <w:r>
        <w:rPr>
          <w:color w:val="000000"/>
          <w:sz w:val="24"/>
          <w:szCs w:val="24"/>
        </w:rPr>
        <w:t xml:space="preserve"> was chosen as a water soluble model drug. It is a lipophilic molecule of high water solubility; however it is classified into the Biopharmaceutics Classification System Class III due to its high molecular weight (M= 1355.37 g/mol), that characterizes high solubility and low permeability. For Class III drugs permeability is rate limiting step for drug absorption. In heavy deficit of cyanocobalamin (e.g. gastrectomia, lack of intrinsic factor) the parenteral administration that means an invasive therapy is available in the common therapeutic practice, so the formulation of a buccal drug delivery system containing vitamin B</w:t>
      </w:r>
      <w:r>
        <w:rPr>
          <w:color w:val="000000"/>
          <w:position w:val="-4"/>
          <w:sz w:val="21"/>
          <w:szCs w:val="21"/>
          <w:vertAlign w:val="subscript"/>
        </w:rPr>
        <w:t xml:space="preserve">12</w:t>
      </w:r>
      <w:r>
        <w:rPr>
          <w:color w:val="000000"/>
          <w:sz w:val="24"/>
          <w:szCs w:val="24"/>
        </w:rPr>
        <w:t xml:space="preserve"> is not just a technological challenge but it may be important in therapeutic point of view as well.</w:t>
      </w:r>
      <w:r>
        <w:rPr>
          <w:color w:val="000000"/>
          <w:sz w:val="24"/>
          <w:szCs w:val="24"/>
        </w:rPr>
        <w:br/>
        <w:t xml:space="preserve">I prepared buccal films by means of two kinds of technology; thin films by cast-solving techniques and wafers by lyophilization. I used sodium-alginate and Carbopol 71G as film-forming and mucoadhesive excipients. In case of intraoral drugs it is important to cover the bad taste of the drugs, for this purpose I used the isomalt. The microstructure of the films was tracked by positron-annihilation lifetime spectroscopy (PALS) and the homogeneity was examined by FTIR-spectroscopy. The morphology of the samples was analyzed by stereomicroscope, scanning electron microscope and micro-CT.</w:t>
      </w:r>
      <w:r>
        <w:rPr>
          <w:color w:val="000000"/>
          <w:sz w:val="24"/>
          <w:szCs w:val="24"/>
        </w:rPr>
        <w:br/>
        <w:t xml:space="preserve">In vitro drug release study was carried out with rotary paddle method. The structural changes of the samples in the course of storage under stress conditions (40 °C,75 % R.H.) were also tracked.</w:t>
      </w:r>
      <w:r>
        <w:rPr>
          <w:color w:val="000000"/>
          <w:sz w:val="24"/>
          <w:szCs w:val="24"/>
        </w:rPr>
        <w:br/>
        <w:t xml:space="preserve">The microstructural changes were followed by PALS measurements during the stability test and correlation was found between the structure and the water content. Correlation was described between the micro- and macrostructure of the systems, thus the release profiles could be predicted from the microstructural features. The presence of Carbopol, the increasing amount of alginate and the lyophilization decreased the dissolution rate. The penetration of the substance was measured by ex vivo studies, using modified Ussing-chamber and buccal mucosa of pork. The efficiencies of the penetration were increased by assuring one-way diffusion using a protective layer on one side of the films.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01435">
    <w:multiLevelType w:val="hybridMultilevel"/>
    <w:lvl w:ilvl="0" w:tplc="91293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01435">
    <w:abstractNumId w:val="67701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984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