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RADICS DR.</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Gertrúd Tamás Dr.</w:t>
            </w:r>
          </w:p>
          <w:p w:rsidR="00DB4822" w:rsidRDefault="00DB4822" w:rsidP="00E11062">
            <w:pPr>
              <w:pStyle w:val="Konzulensek"/>
            </w:pPr>
            <w:r w:rsidRPr="00DB4822">
              <w:t>Assistant professor, SE ÁOK</w:t>
            </w:r>
          </w:p>
        </w:tc>
      </w:tr>
      <w:tr w:rsidR="00DB4822" w:rsidTr="00DB4822">
        <w:tc>
          <w:tcPr>
            <w:tcW w:w="9854" w:type="dxa"/>
          </w:tcPr>
          <w:p w:rsidR="00DB4822" w:rsidRPr="00DB4822" w:rsidRDefault="00DB4822" w:rsidP="004D7940">
            <w:pPr>
              <w:pStyle w:val="Konzulensek"/>
            </w:pPr>
            <w:r w:rsidRPr="00DB4822">
              <w:t>Loránd Erőss Dr. </w:t>
            </w:r>
          </w:p>
          <w:p w:rsidR="00DB4822" w:rsidRDefault="00DB4822" w:rsidP="00E11062">
            <w:pPr>
              <w:pStyle w:val="Konzulensek"/>
            </w:pPr>
            <w:r w:rsidRPr="00DB4822">
              <w:t>Associate professor,  National Institute of Neurosciences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efficacy of deep brain stimulation in Parkinson’s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Symptoms of Parkinson’s disease can be treated with appropriate medication therapy for a long time, but during disease progression medically intractable motor fluctuations and dyskinesia impair the quality of life. In this advanced state, deep brain stimulation (DBS) can be helpful.</w:t>
      </w:r>
      <w:r>
        <w:rPr>
          <w:color w:val="000000"/>
          <w:sz w:val="24"/>
          <w:szCs w:val="24"/>
        </w:rPr>
        <w:br/>
        <w:t xml:space="preserve">Aims: We investigated the efficacy of deep brain stimulation in our patients with Parkinson’s disease and compared it with international results.</w:t>
      </w:r>
      <w:r>
        <w:rPr>
          <w:color w:val="000000"/>
          <w:sz w:val="24"/>
          <w:szCs w:val="24"/>
        </w:rPr>
        <w:br/>
        <w:t xml:space="preserve">Methods: We recruited patients with Parkinson’s disease, who were treated in the Department of Neurology, Semmelweis University, and were operated in the National Institute of Neurosciences between 2008 and 2011.Symptoms of Parkinson’s disease were assessed by rating scales before and one year after surgery. We analyzed the change in points of the Unified Parkinson’s Disease Rating Scale (UPDRS), the Hoehn and Yahr Scale, the Parkinson’s Disease Questionnaire 39 (PDQ-39) quality of life scale; and the required antiparkinson medication calculated in levodopa equivalent dose.</w:t>
      </w:r>
      <w:r>
        <w:rPr>
          <w:color w:val="000000"/>
          <w:sz w:val="24"/>
          <w:szCs w:val="24"/>
        </w:rPr>
        <w:br/>
        <w:t xml:space="preserve">Results: In the examination period, thirteen patients (4 women, 9 men, age: 58,3±8,82years, disease duration: 14,1±5,87years) had bilateral subthalamic electrode and neuropacemaker implantation. So far, we performed the control examinations of eight patients. According to the UPDRS, mentation, behavior and mood were improved by 35% (p=0,5), activities of daily living were improved by 59% (p&lt;0,01), and the motor symptoms after 12 hours levodopa withdrawal were improved by 79% (p&lt;0,01). The facial expression, the rest tremor of the hands, the rigidity, the fine movements of the hands, the posture and the gait were improved significantly. The time and severity of dyskinesia and motor fluctuations decreased by 80% (p&lt;0,01). The total score of the UPDRS was decreased by 71% (p&lt;0,01). We observed 71,4% improvement (p&lt;0,02) in the Hoehn and Yahr Scale, and 42,4% improvement (p&lt;0,01) in PDQ-39 scale. The dose of medication could be reduced by 57,1% aftersurgery (p&lt;0,02).</w:t>
      </w:r>
      <w:r>
        <w:rPr>
          <w:color w:val="000000"/>
          <w:sz w:val="24"/>
          <w:szCs w:val="24"/>
        </w:rPr>
        <w:br/>
        <w:t xml:space="preserve">Conclusions: After bilateral STN electrode and neurostimulator implantation, the dose of medication could be reduced considerably. The motor symptoms and the quality of life improved significantly and better than the international average. Although the number of our patients is low yet, our result could be explained with the strict patient selection and the accurate neurosurgical procedure.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28414">
    <w:multiLevelType w:val="hybridMultilevel"/>
    <w:lvl w:ilvl="0" w:tplc="11545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28414">
    <w:abstractNumId w:val="45328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162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