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EDE BIRTALAN</w:t>
            </w:r>
          </w:p>
          <w:p w:rsidR="00C275A3" w:rsidRDefault="00A96AEC" w:rsidP="00C275A3">
            <w:pPr>
              <w:pStyle w:val="Hallgatokepzes"/>
            </w:pPr>
            <w:r>
              <w:t>general medicine</w:t>
            </w:r>
            <w:r>
              <w:br/>
            </w:r>
            <w:r w:rsidR="00E77B23">
              <w:t>Unified, 8.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BALÁZS TAMÁS NÉMETH</w:t>
            </w:r>
          </w:p>
          <w:p w:rsidR="00DB4822" w:rsidRDefault="00C275A3" w:rsidP="004D7940">
            <w:pPr>
              <w:pStyle w:val="Hallgatokepzes"/>
            </w:pPr>
            <w:r>
              <w:t>general medicine</w:t>
            </w:r>
            <w:r w:rsidR="00A96AEC">
              <w:br/>
              <w:t>Unified, 10.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Radovits Tamás MD, PhD</w:t>
            </w:r>
          </w:p>
          <w:p w:rsidR="00DB4822" w:rsidRDefault="00DB4822" w:rsidP="00E11062">
            <w:pPr>
              <w:pStyle w:val="Konzulensek"/>
            </w:pPr>
            <w:r w:rsidRPr="00DB4822">
              <w:t>clinical physician,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Pharmacological Activation of the Soluble Guanylate Cyclase in Diabetic Cardiomyopathy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Cardiovascular function in diabetes is severely impaired, which involves decreased nitric oxide (NO) production of the vascular wall. The second messenger of NO signaling is cyclic guanosine monophosphate (cGMP), which is generated via the activation of soluble guanylate cyclase (sGC). Elevated intracellular cGMP-levels have been reported to exert cytoprotective effects in oxidative stress. Recently, activators of sGC such as cinaciguat have been developed. We investigated the effects of chronic activation of sGC by cinaciguat in diabetic cardiomyopathy in a rat model of Type 1 diabetes.</w:t>
      </w:r>
      <w:r>
        <w:rPr>
          <w:color w:val="000000"/>
          <w:sz w:val="24"/>
          <w:szCs w:val="24"/>
        </w:rPr>
        <w:br/>
        <w:t xml:space="preserve">Methods: Type 1 diabetes was induced by a single intraperitoneal injection of streptozotocin in Sprague-Dawley rats. Diabetic rats of the treatment group were treated with 10 mg/kg/day cinaciguat via oral gavage for 8 weeks, whereas control animals received placebo. We performed left ventricular (LV) pressure-volume analysis with a Millar conductance microcatheter to assess cardiac function, and calculated sensitive contractility parameters such as preload recruitable stroke work (PRSW). In addition to our functional experiments, we also performed immunohistochemical measurements, and myocardial gene expressions were investigated with quantitative real time polymerase chain reaction (qRT-PCR).</w:t>
      </w:r>
      <w:r>
        <w:rPr>
          <w:color w:val="000000"/>
          <w:sz w:val="24"/>
          <w:szCs w:val="24"/>
        </w:rPr>
        <w:br/>
        <w:t xml:space="preserve">Results: We found significantly changed myocardial expression of atrial natriuretic factor (ANF), endothelial nitric oxide synthase (eNOS) and matrix metalloproteinases (MMPs), and also observed elevated myocardial transforming growth factor-β (TGF-β) immunoreactivity in our diabetic rats compared to healthy controls. We also found decreased LV contractility (PRSW: 49.5±3.3 vs. 83.0±5.5mmHg; p&lt;0.05) and diastolic function (time constant of LV pressure decay, τ: 17,3±0,8 vs. 10,3±0,3 msec, p&lt;0,05) in the untreated diabetic animals. The cinaciguat-treated diabetic rats showed improved expression of ANF, MMP-9 and TGF-β, and significantly better systolic (PRSW: 66,8±3,6 vs. 49,5±3,3 mmHg, p&lt;0,05) and diastolic (τ: 14,9±0,6 vs. 17,3±0,8 msec, p&lt;0,05) function compared to untreated diabetics.</w:t>
      </w:r>
      <w:r>
        <w:rPr>
          <w:color w:val="000000"/>
          <w:sz w:val="24"/>
          <w:szCs w:val="24"/>
        </w:rPr>
        <w:br/>
        <w:t xml:space="preserve">Conclusions: Our results demonstrate that cinaciguat prevents diabetes-associated deleterious myocardial changes and improves diabetic cardiac dysfunction in our rat model. Pharmacological activation of sGC might represent a novel therapy approach for diabetic cardiomyopathy.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576948">
    <w:multiLevelType w:val="hybridMultilevel"/>
    <w:lvl w:ilvl="0" w:tplc="386260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576948">
    <w:abstractNumId w:val="695769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23308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