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KOVÁCS MD</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Nagy MD, PhD</w:t>
            </w:r>
          </w:p>
          <w:p w:rsidR="00DB4822" w:rsidRDefault="00DB4822" w:rsidP="00E11062">
            <w:pPr>
              <w:pStyle w:val="Konzulensek"/>
            </w:pPr>
            <w:r w:rsidRPr="00DB4822">
              <w:t>assistant professor, SE ÁOK</w:t>
            </w:r>
          </w:p>
        </w:tc>
      </w:tr>
      <w:tr w:rsidR="00DB4822" w:rsidTr="00DB4822">
        <w:tc>
          <w:tcPr>
            <w:tcW w:w="9854" w:type="dxa"/>
          </w:tcPr>
          <w:p w:rsidR="00DB4822" w:rsidRPr="00DB4822" w:rsidRDefault="00DB4822" w:rsidP="004D7940">
            <w:pPr>
              <w:pStyle w:val="Konzulensek"/>
            </w:pPr>
            <w:r w:rsidRPr="00DB4822">
              <w:t>Astrid Apor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torsional dynamics in elite athletes by speckle tracking echocardiography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systolic contraction of the left ventricle is the result of the complex, three-dimensional deformation of the myocardium. Beyond longitudinal shortening and radial thickening of the chamber, counter-clockwise rotation of the apex and clockwise rotation of the base generates systolic twist, which also aids ejection. Speckle tracking echocardiography is a novel quantitative technique to assess myocardial deformation. We sought to investigate the left ventricular torsional dynamics measured by speckle tracking echocardiography in elite athletes and healthy sedentary volunteers.</w:t>
      </w:r>
    </w:p>
    <w:p>
      <w:pPr>
        <w:widowControl w:val="on"/>
        <w:pBdr/>
        <w:spacing w:before="240" w:after="240" w:line="240" w:lineRule="auto"/>
        <w:ind w:left="0" w:right="0"/>
        <w:jc w:val="left"/>
      </w:pPr>
      <w:r>
        <w:rPr>
          <w:color w:val="000000"/>
          <w:sz w:val="24"/>
          <w:szCs w:val="24"/>
        </w:rPr>
        <w:t xml:space="preserve">Methods. Elite athletes in kayaking, canoeing or rowing (n=20, mean age 22.4±3.3 years) and healthy sedentary volunteers (n=11, 26.4±4.5 years) were compared. Left ventricular volumes and mass were assessed by cardiac MRI. To evaluate left ventricular apical and basal peak rotation values, parasternal short axis views of the left ventricle were obtained and analyzed using dedicated speckle tracking software (Philips QLab 8.0 CMQ). We defined twist as the net difference between apical and basal rotation, while twist indexed to left ventricular length resulted in torsion values.</w:t>
      </w:r>
    </w:p>
    <w:p>
      <w:pPr>
        <w:widowControl w:val="on"/>
        <w:pBdr/>
        <w:spacing w:before="240" w:after="240" w:line="240" w:lineRule="auto"/>
        <w:ind w:left="0" w:right="0"/>
        <w:jc w:val="left"/>
      </w:pPr>
      <w:r>
        <w:rPr>
          <w:color w:val="000000"/>
          <w:sz w:val="24"/>
          <w:szCs w:val="24"/>
        </w:rPr>
        <w:t xml:space="preserve">Results. Interventricular septal (IVS) and posterior wall (LVPW) thicknesses, left ventricular end-systolic (LVESVi) and end-diastolic (LVEDVi) volumes and mass (LVMi) indexed to body surface area were significantly increased in elite athletes compared to controls (IVS: 13.1±0.4 mm vs. 11.8±0.5 mm, LVPW: 12.5±0.3 mm vs. 9.7±0.4 mm, LVESVi: 50.6±1.8 ml/m</w:t>
      </w:r>
      <w:r>
        <w:rPr>
          <w:color w:val="000000"/>
          <w:position w:val="4"/>
          <w:sz w:val="21"/>
          <w:szCs w:val="21"/>
          <w:vertAlign w:val="superscript"/>
        </w:rPr>
        <w:t xml:space="preserve">2</w:t>
      </w:r>
      <w:r>
        <w:rPr>
          <w:color w:val="000000"/>
          <w:sz w:val="24"/>
          <w:szCs w:val="24"/>
        </w:rPr>
        <w:t xml:space="preserve"> vs. 38.4±2.7 ml/m</w:t>
      </w:r>
      <w:r>
        <w:rPr>
          <w:color w:val="000000"/>
          <w:position w:val="4"/>
          <w:sz w:val="21"/>
          <w:szCs w:val="21"/>
          <w:vertAlign w:val="superscript"/>
        </w:rPr>
        <w:t xml:space="preserve">2</w:t>
      </w:r>
      <w:r>
        <w:rPr>
          <w:color w:val="000000"/>
          <w:sz w:val="24"/>
          <w:szCs w:val="24"/>
        </w:rPr>
        <w:t xml:space="preserve">, LVEDVi: 119.7±2.7 ml/m</w:t>
      </w:r>
      <w:r>
        <w:rPr>
          <w:color w:val="000000"/>
          <w:position w:val="4"/>
          <w:sz w:val="21"/>
          <w:szCs w:val="21"/>
          <w:vertAlign w:val="superscript"/>
        </w:rPr>
        <w:t xml:space="preserve">2</w:t>
      </w:r>
      <w:r>
        <w:rPr>
          <w:color w:val="000000"/>
          <w:sz w:val="24"/>
          <w:szCs w:val="24"/>
        </w:rPr>
        <w:t xml:space="preserve"> vs. 99.1±3.6 ml/m</w:t>
      </w:r>
      <w:r>
        <w:rPr>
          <w:color w:val="000000"/>
          <w:position w:val="4"/>
          <w:sz w:val="21"/>
          <w:szCs w:val="21"/>
          <w:vertAlign w:val="superscript"/>
        </w:rPr>
        <w:t xml:space="preserve">2</w:t>
      </w:r>
      <w:r>
        <w:rPr>
          <w:color w:val="000000"/>
          <w:sz w:val="24"/>
          <w:szCs w:val="24"/>
        </w:rPr>
        <w:t xml:space="preserve">, LVMi: 90.4±2.2 g/m</w:t>
      </w:r>
      <w:r>
        <w:rPr>
          <w:color w:val="000000"/>
          <w:position w:val="4"/>
          <w:sz w:val="21"/>
          <w:szCs w:val="21"/>
          <w:vertAlign w:val="superscript"/>
        </w:rPr>
        <w:t xml:space="preserve">2</w:t>
      </w:r>
      <w:r>
        <w:rPr>
          <w:color w:val="000000"/>
          <w:sz w:val="24"/>
          <w:szCs w:val="24"/>
        </w:rPr>
        <w:t xml:space="preserve"> vs. 70.1±2.4 g/m</w:t>
      </w:r>
      <w:r>
        <w:rPr>
          <w:color w:val="000000"/>
          <w:position w:val="4"/>
          <w:sz w:val="21"/>
          <w:szCs w:val="21"/>
          <w:vertAlign w:val="superscript"/>
        </w:rPr>
        <w:t xml:space="preserve">2</w:t>
      </w:r>
      <w:r>
        <w:rPr>
          <w:color w:val="000000"/>
          <w:sz w:val="24"/>
          <w:szCs w:val="24"/>
        </w:rPr>
        <w:t xml:space="preserve">, mean±SEM, p&lt;0.05). Torsional dynamics of the study groups were different: left ventricular twist and torsion were significantly increased among sportsmen compared to controls (twist: 7.4±0.6˚ vs. 6.0±0.4˚; torsion: 0.8±0.07˚/cm vs. 0.7±0.03˚/cm, mean±SEM, p&lt;0.05).</w:t>
      </w:r>
    </w:p>
    <w:p>
      <w:pPr>
        <w:widowControl w:val="on"/>
        <w:pBdr/>
        <w:spacing w:before="240" w:after="240" w:line="240" w:lineRule="auto"/>
        <w:ind w:left="0" w:right="0"/>
        <w:jc w:val="left"/>
      </w:pPr>
      <w:r>
        <w:rPr>
          <w:color w:val="000000"/>
          <w:sz w:val="24"/>
          <w:szCs w:val="24"/>
        </w:rPr>
        <w:t xml:space="preserve">Conclusions. Torsional dynamics assessed by speckle tracking echocardiography can provide valuable information regarding left ventricular function. The increased left ventricular twist and torsion can play a remarkable role in the functional reserve capacity of sportsmen.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47265">
    <w:multiLevelType w:val="hybridMultilevel"/>
    <w:lvl w:ilvl="0" w:tplc="5756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47265">
    <w:abstractNumId w:val="29647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475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