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ASSABINY</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PETER BÓGYI</w:t>
            </w:r>
          </w:p>
          <w:p w:rsidR="00DB4822" w:rsidRDefault="00C275A3" w:rsidP="004D7940">
            <w:pPr>
              <w:pStyle w:val="Hallgatokepzes"/>
            </w:pPr>
            <w:r>
              <w:t>-</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Bela Merkely</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Valentina Kutyifa</w:t>
            </w:r>
          </w:p>
          <w:p w:rsidR="00DB4822" w:rsidRDefault="00DB4822" w:rsidP="00E11062">
            <w:pPr>
              <w:pStyle w:val="Konzulensek"/>
            </w:pPr>
            <w:r w:rsidRPr="00DB4822">
              <w:t>medical doctor,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effectivity of cardiac resynchronization therapy - long-term experience from Semmelweis University Heart Center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cardiac resynchronization therapy is an effective treatment method of optimal medical treatment-refractory heart failure. Aims: to follow-up patients recieving CRT in Heart Center between 2000-2011. Methods: we implanted 1122 CRT devices, 693 CRT-pacemakers and 429 CRT-ICD devices. We evaluated NYHA state, QRS duration, echocardiographic parameters, and in a part of the patients the quality of life before implantation and during follow-up.</w:t>
      </w:r>
      <w:r>
        <w:rPr>
          <w:color w:val="000000"/>
          <w:sz w:val="24"/>
          <w:szCs w:val="24"/>
        </w:rPr>
        <w:br/>
        <w:t xml:space="preserve">Results: Mean age of patients was 65,4±10,7 years (860 male). The etiology of heart failure appeared to be ischaemic in 455 cases (40,6%). Median follow-up time was 28 (IQR: 12;47) months, during this period 379 patients died. According the effect of CRT QRS duration (163±28 vs. 131±25; p&lt;0,001), degree of mitral regurtitation (2,3±0,9 vs.2,08±1,0; p&lt;0,001), pulmonary artery pressure (45,8±13,2 vs. 41,9±12,5; p&lt;0,001) decreased significantly, meanwhile left ventricular ejection fraction (27,9± 7,0 vs. 34,5±10,0; p&lt;0,001), and NYHA state (3,0±0,8, vs. 2,3±07; p&lt;0,001) increased significantly. The quality of life also improved even assesed with visual analog scale (41,5±20,8 vs. 63,5±19,9; p&lt;0,001) even with EQ-5D index-number based on answers of the quassionare. Multivariate Cox-regresssion revealed ischaemic origin (p=0,029), estimated GFR (p=0,001), creatinine/urea ratio (p=0,001), right ventricular diameter (p=0,042) and pulmonary artery pressure (p=0,013) to be an independent predictor of mortality. Conclusions: According to the effect of CRT, clinical status and quality of life improving could be observed. In our patient population the ischaemic origin of heart failure, impaired renal funciton, and the state of the right heart side found to be independent predictor of mortality.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40601">
    <w:multiLevelType w:val="hybridMultilevel"/>
    <w:lvl w:ilvl="0" w:tplc="97884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40601">
    <w:abstractNumId w:val="83540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081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