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ZSOMBOR SZARVAS</w:t>
            </w:r>
          </w:p>
          <w:p w:rsidR="00C275A3" w:rsidRDefault="00A96AEC" w:rsidP="00C275A3">
            <w:pPr>
              <w:pStyle w:val="Hallgatokepzes"/>
            </w:pPr>
            <w:r>
              <w:t>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Ligeti</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Ákos M. Lőrincz</w:t>
            </w:r>
          </w:p>
          <w:p w:rsidR="00DB4822" w:rsidRDefault="00DB4822" w:rsidP="00E11062">
            <w:pPr>
              <w:pStyle w:val="Konzulensek"/>
            </w:pPr>
            <w:r w:rsidRPr="00DB4822">
              <w:t>professor's assistant,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GTPase activating proteins affecting the NADPH oxidase complex of neutrophilic granulocytes.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neutrophilic granulocyte (PMN) plays a key role in the antimicrobial defense of the body. One of the most important ways of protection against aggressive agents and gentile materials is the superoxide produced by the NADPH oxidase enzyme complex (NOX2) of the PMNs. The Rac small G protein can be found among the five main components of this complex and its function is affected by several different GTPase activating proteins (GAPs). GAPs suppress the production of reactive oxygen species by catalyzing the GTP hydrolysis of small G proteins. During this work, our main concern was to analyze the effect of some GAPs predicted by the literature on the production of reactive oxygen species in a cell-free system. Examined GAPs were the following: p50RhoGAP, p190RhoGAP, BCR and the ARHGAP25.</w:t>
      </w:r>
    </w:p>
    <w:p>
      <w:pPr>
        <w:widowControl w:val="on"/>
        <w:pBdr/>
        <w:spacing w:before="240" w:after="240" w:line="240" w:lineRule="auto"/>
        <w:ind w:left="0" w:right="0"/>
        <w:jc w:val="left"/>
      </w:pPr>
      <w:r>
        <w:rPr>
          <w:color w:val="000000"/>
          <w:sz w:val="24"/>
          <w:szCs w:val="24"/>
        </w:rPr>
        <w:t xml:space="preserve">Methods: For appropriate study of reactive oxygen species production „semi-recombinant” systems were set by separating the membrane-fraction of the granulocytes obtained from buffy coat and producing the cytosolic units of the protein complex (p47, p67) by a recombinant way. The effect of the individual GAPs was supposed to be certified by two methods: first by adding the recombinant GAP proteins to the system, second by immunodepleting endogenous GAP proteins from the membrane-fraction. The depletions success was controlled by Western blot. The GAP activity of the added GAPs was measured and normalized by isotopic GAP assay. The superoxide production was examined by a method based on the reduction of cytochrome C.</w:t>
      </w:r>
    </w:p>
    <w:p>
      <w:pPr>
        <w:widowControl w:val="on"/>
        <w:pBdr/>
        <w:spacing w:before="240" w:after="240" w:line="240" w:lineRule="auto"/>
        <w:ind w:left="0" w:right="0"/>
        <w:jc w:val="left"/>
      </w:pPr>
      <w:r>
        <w:rPr>
          <w:color w:val="000000"/>
          <w:sz w:val="24"/>
          <w:szCs w:val="24"/>
        </w:rPr>
        <w:t xml:space="preserve">Results: In the first phase of our examination, p190RhoGAP was observed to have the strongest GAP effect on Rac protein found in the membrane. P50RhoGAP and BCR showed a weaker effect than p190RhoGAP, and the weakest inhibition was seen by adding ARHGAP25. In case of adding these GAPs after induction of the assembly of complex, no effect was seen. In the second phase, when GAPs were pulled-out from the membrane, no dramatic differences were observed in superoxide production after separate absence of examined GAPs.</w:t>
      </w:r>
    </w:p>
    <w:p>
      <w:pPr>
        <w:widowControl w:val="on"/>
        <w:pBdr/>
        <w:spacing w:before="240" w:after="240" w:line="240" w:lineRule="auto"/>
        <w:ind w:left="0" w:right="0"/>
        <w:jc w:val="left"/>
      </w:pPr>
      <w:r>
        <w:rPr>
          <w:color w:val="000000"/>
          <w:sz w:val="24"/>
          <w:szCs w:val="24"/>
        </w:rPr>
        <w:t xml:space="preserve">Conclusion: The GAPs influence the Rac in the membrane of neutrophilic granulocytes by a redundant way, however they can not regulate it, if the NOX2 complex is assembled.</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13480">
    <w:multiLevelType w:val="hybridMultilevel"/>
    <w:lvl w:ilvl="0" w:tplc="50368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13480">
    <w:abstractNumId w:val="95113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5073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