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BERES</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FERENC KOLONICS</w:t>
            </w:r>
          </w:p>
          <w:p w:rsidR="00DB4822" w:rsidRDefault="00C275A3" w:rsidP="004D7940">
            <w:pPr>
              <w:pStyle w:val="Hallgatokepzes"/>
            </w:pPr>
            <w:r>
              <w:t>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Timar, MD</w:t>
            </w:r>
          </w:p>
          <w:p w:rsidR="00DB4822" w:rsidRDefault="00DB4822" w:rsidP="00E11062">
            <w:pPr>
              <w:pStyle w:val="Konzulensek"/>
            </w:pPr>
            <w:r w:rsidRPr="00DB4822">
              <w:t>research fellow, SE ÁOK</w:t>
            </w:r>
          </w:p>
        </w:tc>
      </w:tr>
      <w:tr w:rsidR="00DB4822" w:rsidTr="00DB4822">
        <w:tc>
          <w:tcPr>
            <w:tcW w:w="9854" w:type="dxa"/>
          </w:tcPr>
          <w:p w:rsidR="00DB4822" w:rsidRPr="00DB4822" w:rsidRDefault="00DB4822" w:rsidP="004D7940">
            <w:pPr>
              <w:pStyle w:val="Konzulensek"/>
            </w:pPr>
            <w:r w:rsidRPr="00DB4822">
              <w:t>Erzsébet Ligeti MD, PhD</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septic conditions on the function of human neutrophil granulocytes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Sepsis and other diseases with systemic inflammatory response are intensively investigated in recent studies, although the pathomechanism and a definitive treatment are still unknown despite the many details found in this topic.</w:t>
      </w:r>
    </w:p>
    <w:p>
      <w:pPr>
        <w:widowControl w:val="on"/>
        <w:pBdr/>
        <w:spacing w:before="240" w:after="240" w:line="240" w:lineRule="auto"/>
        <w:ind w:left="0" w:right="0"/>
        <w:jc w:val="left"/>
      </w:pPr>
      <w:r>
        <w:rPr>
          <w:color w:val="000000"/>
          <w:sz w:val="24"/>
          <w:szCs w:val="24"/>
        </w:rPr>
        <w:t xml:space="preserve">Clinical findings confirm the central role of neutrophil granulocytes in the pathomechanism of systemic inflammatory response syndrome (SIRS). Sepsis is a SIRS caused by infective agents, which are in 80% of the cases bacteria, so neutrophils, the principal bactericidal cells are not only affected by the systemic inflammation, but they also participate in eliminating the causing factor of the SIRS.</w:t>
      </w:r>
    </w:p>
    <w:p>
      <w:pPr>
        <w:widowControl w:val="on"/>
        <w:pBdr/>
        <w:spacing w:before="240" w:after="240" w:line="240" w:lineRule="auto"/>
        <w:ind w:left="0" w:right="0"/>
        <w:jc w:val="left"/>
      </w:pPr>
      <w:r>
        <w:rPr>
          <w:color w:val="000000"/>
          <w:sz w:val="24"/>
          <w:szCs w:val="24"/>
        </w:rPr>
        <w:t xml:space="preserve">Methods: We investigated human neutrophil granulocytes isolated from healthy volunteers and septic patients by using a superoxide-detecting chemoluminescent assay and a semiautomatic bacterial surviving test.</w:t>
      </w:r>
    </w:p>
    <w:p>
      <w:pPr>
        <w:widowControl w:val="on"/>
        <w:pBdr/>
        <w:spacing w:before="240" w:after="240" w:line="240" w:lineRule="auto"/>
        <w:ind w:left="0" w:right="0"/>
        <w:jc w:val="left"/>
      </w:pPr>
      <w:r>
        <w:rPr>
          <w:color w:val="000000"/>
          <w:sz w:val="24"/>
          <w:szCs w:val="24"/>
        </w:rPr>
        <w:t xml:space="preserve">Results: We observed some of the clinical evidences regarding septic neutrophil function: we found signs of decreased superoxide production capacity, preactivation and impaired bactericidal activity. We showed first that some of these parameters tightly correlate with the general condition of the patients. We proved that altered neutrophil functions in SIRS affect the elimination of various bacteria differently, yet the localization and causing agent of the sepsis did not influence the effects of SIRS on neutrophils. We ruled out the role of septic physicochemical conditions behind these changes, and we observed that pretreatment with septic plasma strongly influences healthy neutrophil functions.</w:t>
      </w:r>
    </w:p>
    <w:p>
      <w:pPr>
        <w:widowControl w:val="on"/>
        <w:pBdr/>
        <w:spacing w:before="240" w:after="240" w:line="240" w:lineRule="auto"/>
        <w:ind w:left="0" w:right="0"/>
        <w:jc w:val="left"/>
      </w:pPr>
      <w:r>
        <w:rPr>
          <w:color w:val="000000"/>
          <w:sz w:val="24"/>
          <w:szCs w:val="24"/>
        </w:rPr>
        <w:t xml:space="preserve">Conclusion: In our theory, bacteria and other noxa cause systemic inflammation in different ways, but this evolves into the same SIRS, which can be quantitatively different. We presume that these changes are serum mediated.</w:t>
      </w:r>
    </w:p>
    <w:p>
      <w:pPr>
        <w:widowControl w:val="on"/>
        <w:pBdr/>
        <w:spacing w:before="240" w:after="240" w:line="240" w:lineRule="auto"/>
        <w:ind w:left="0" w:right="0"/>
        <w:jc w:val="left"/>
      </w:pPr>
      <w:r>
        <w:rPr>
          <w:color w:val="000000"/>
          <w:sz w:val="24"/>
          <w:szCs w:val="24"/>
        </w:rPr>
        <w:t xml:space="preserve">Grant support: Our project has been supported by the following grants or organisations: OTKA K81277 and K75084, TÁMOP 4.2.1/B-09/1/KMR-2010-0001 and 4.2.2/B10/1-2010-0013, ETT, ESZA, NFÜ, SKE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81028">
    <w:multiLevelType w:val="hybridMultilevel"/>
    <w:lvl w:ilvl="0" w:tplc="59122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81028">
    <w:abstractNumId w:val="55181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338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