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KLEMENCSICS</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Balazs Szollosi MD</w:t>
            </w:r>
          </w:p>
          <w:p w:rsidR="00DB4822" w:rsidRDefault="00DB4822" w:rsidP="00E11062">
            <w:pPr>
              <w:pStyle w:val="Konzulensek"/>
            </w:pPr>
            <w:r w:rsidRPr="00DB4822">
              <w:t>Senior Consultant,  National Center for Spinal Disorders</w:t>
            </w:r>
          </w:p>
        </w:tc>
      </w:tr>
      <w:tr w:rsidR="00DB4822" w:rsidTr="00DB4822">
        <w:tc>
          <w:tcPr>
            <w:tcW w:w="9854" w:type="dxa"/>
          </w:tcPr>
          <w:p w:rsidR="00DB4822" w:rsidRPr="00DB4822" w:rsidRDefault="00DB4822" w:rsidP="004D7940">
            <w:pPr>
              <w:pStyle w:val="Konzulensek"/>
            </w:pPr>
            <w:r w:rsidRPr="00DB4822">
              <w:t>Aron Lazary MD PhD</w:t>
            </w:r>
          </w:p>
          <w:p w:rsidR="00DB4822" w:rsidRDefault="00DB4822" w:rsidP="00E11062">
            <w:pPr>
              <w:pStyle w:val="Konzulensek"/>
            </w:pPr>
            <w:r w:rsidRPr="00DB4822">
              <w:t>Head of Research and Development,  National Center for Spinal Disorders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Early clinical and radiological outcome of cervical disc prosthesis implantation in a prospective, non-randomizated study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aim was to analyze prospectively the clinical and radiological outcome of the implantation of cervical disc prosthesis comparing standardized preoperative and postoperative data.</w:t>
      </w:r>
    </w:p>
    <w:p>
      <w:pPr>
        <w:widowControl w:val="on"/>
        <w:pBdr/>
        <w:spacing w:before="240" w:after="240" w:line="240" w:lineRule="auto"/>
        <w:ind w:left="0" w:right="0"/>
        <w:jc w:val="left"/>
      </w:pPr>
      <w:r>
        <w:rPr>
          <w:color w:val="000000"/>
          <w:sz w:val="24"/>
          <w:szCs w:val="24"/>
        </w:rPr>
        <w:t xml:space="preserve">In our study, we analyzed clinical and radiological data of 41 patients who underwent cervical disc prosthesis implantation in National Center for Spinal Disorders. Functional X-rays were made and patients completed self-reported questionnaires (EuroQol-5D, Neck Disability Index, Visual Analogue Scales) preoperatively and at postoperative 6-week, 3-month, 6-month and 1-year visits. Data were collected into a MS Access database, and analyzed with SPSS statistical programme package. P&lt;0,05 was considered as significant result.</w:t>
      </w:r>
    </w:p>
    <w:p>
      <w:pPr>
        <w:widowControl w:val="on"/>
        <w:pBdr/>
        <w:spacing w:before="240" w:after="240" w:line="240" w:lineRule="auto"/>
        <w:ind w:left="0" w:right="0"/>
        <w:jc w:val="left"/>
      </w:pPr>
      <w:r>
        <w:rPr>
          <w:color w:val="000000"/>
          <w:sz w:val="24"/>
          <w:szCs w:val="24"/>
        </w:rPr>
        <w:t xml:space="preserve">30 patients underwent one-level, and 11 patients underwent two-level cervical disc prosthesis implantation. We used different types of prosthesis; Discover in 20 cases, Active-C in 12 cases, Prestige in 5 cases and Prodisc Nova C in one case. Surgery time (109.5±32.4 min) and operation blood loss (45.6±26.5 ml) were significantly associated with the type of the implanted prosthesis (p=0.009 and p=0.019) and with the number of the operated levels (p&lt;0.001 and p=0.004). Surgery related complication and reoperation were reported in only one case (haematoma evacuation). During the radiological follow-up there were no significant change postoperatively in the disc height and range of motion in the adjacent levels. Cervical lordosis was not changed by prosthesis implantation. In the status survey significant improvement was found (p&lt;0.005) in the intensity and frequency of neck and arm pain. Significant improvement was also found in pain, anxiety, leisure time activities, and sleeping subscales of general (EQ-5) and specific (NDI) self-reported questionnaries (p&lt;0.05).</w:t>
      </w:r>
    </w:p>
    <w:p>
      <w:pPr>
        <w:widowControl w:val="on"/>
        <w:pBdr/>
        <w:spacing w:before="240" w:after="240" w:line="240" w:lineRule="auto"/>
        <w:ind w:left="0" w:right="0"/>
        <w:jc w:val="left"/>
      </w:pPr>
      <w:r>
        <w:rPr>
          <w:color w:val="000000"/>
          <w:sz w:val="24"/>
          <w:szCs w:val="24"/>
        </w:rPr>
        <w:t xml:space="preserve">Cervical disc prosthesis implantation is acceptable as motion preservation surgery according to the mid-term radiological and clinical outcome. The optimal outcome is related to the proper surgical technique and the consideration of the biomechanical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44644">
    <w:multiLevelType w:val="hybridMultilevel"/>
    <w:lvl w:ilvl="0" w:tplc="27637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44644">
    <w:abstractNumId w:val="12344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865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