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RÓKUSZ</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Nagy</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expansion of the progenitor cell compartment accelerates the regeneration of the rat liver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several wellknown mechanisms of liver regeneration. If the the hepatocytes are compromised, the progenitor cell compartment becomes activated and restores the lost parenchyme. In healthy rat liver the progenitor cells are harboured in the canals of Hering, they can be identified by a unique fenotype (CK19+/CK7-/AFP-). Similar ductules have been observed in the liver parenchyme following severe liver injury. We have investigated in our present experiment if these intraparenchymal ductules have any impact on liver regeneration.</w:t>
      </w:r>
    </w:p>
    <w:p>
      <w:pPr>
        <w:widowControl w:val="on"/>
        <w:pBdr/>
        <w:spacing w:before="240" w:after="240" w:line="240" w:lineRule="auto"/>
        <w:ind w:left="0" w:right="0"/>
        <w:jc w:val="left"/>
      </w:pPr>
      <w:r>
        <w:rPr>
          <w:color w:val="000000"/>
          <w:sz w:val="24"/>
          <w:szCs w:val="24"/>
        </w:rPr>
        <w:t xml:space="preserve">The combination of continous acetaminofluorene treatment and a single necrogenic dose of carbontetrachloride (AAF/CCl</w:t>
      </w:r>
      <w:r>
        <w:rPr>
          <w:color w:val="000000"/>
          <w:position w:val="-4"/>
          <w:sz w:val="21"/>
          <w:szCs w:val="21"/>
          <w:vertAlign w:val="subscript"/>
        </w:rPr>
        <w:t xml:space="preserve">4</w:t>
      </w:r>
      <w:r>
        <w:rPr>
          <w:color w:val="000000"/>
          <w:sz w:val="24"/>
          <w:szCs w:val="24"/>
        </w:rPr>
        <w:t xml:space="preserve">) is a widely used model of progenitor cell driven liver regeneration, with two well defined stages, oval cell proliferation and focus formation. The AAF/ CCl</w:t>
      </w:r>
      <w:r>
        <w:rPr>
          <w:color w:val="000000"/>
          <w:position w:val="-4"/>
          <w:sz w:val="21"/>
          <w:szCs w:val="21"/>
          <w:vertAlign w:val="subscript"/>
        </w:rPr>
        <w:t xml:space="preserve">4</w:t>
      </w:r>
      <w:r>
        <w:rPr>
          <w:color w:val="000000"/>
          <w:sz w:val="24"/>
          <w:szCs w:val="24"/>
        </w:rPr>
        <w:t xml:space="preserve"> model was preceded by two different injury models: (I.) diethylnitrosamine (DEN) administration (II.) another AAF/CCl</w:t>
      </w:r>
      <w:r>
        <w:rPr>
          <w:color w:val="000000"/>
          <w:position w:val="-4"/>
          <w:sz w:val="21"/>
          <w:szCs w:val="21"/>
          <w:vertAlign w:val="subscript"/>
        </w:rPr>
        <w:t xml:space="preserve">4</w:t>
      </w:r>
      <w:r>
        <w:rPr>
          <w:color w:val="000000"/>
          <w:sz w:val="24"/>
          <w:szCs w:val="24"/>
        </w:rPr>
        <w:t xml:space="preserve"> protocol.</w:t>
      </w:r>
    </w:p>
    <w:p>
      <w:pPr>
        <w:widowControl w:val="on"/>
        <w:pBdr/>
        <w:spacing w:before="240" w:after="240" w:line="240" w:lineRule="auto"/>
        <w:ind w:left="0" w:right="0"/>
        <w:jc w:val="left"/>
      </w:pPr>
      <w:r>
        <w:rPr>
          <w:color w:val="000000"/>
          <w:sz w:val="24"/>
          <w:szCs w:val="24"/>
        </w:rPr>
        <w:t xml:space="preserve">That is three experimental groups were formed:</w:t>
      </w:r>
    </w:p>
    <w:p>
      <w:pPr>
        <w:widowControl w:val="on"/>
        <w:pBdr/>
        <w:spacing w:before="240" w:after="240" w:line="240" w:lineRule="auto"/>
        <w:ind w:left="0" w:right="0"/>
        <w:jc w:val="left"/>
      </w:pPr>
      <w:r>
        <w:rPr>
          <w:color w:val="000000"/>
          <w:sz w:val="24"/>
          <w:szCs w:val="24"/>
        </w:rPr>
        <w:t xml:space="preserve">         I.     DEN (200 mg/kg), after two weeks AAF/CCl</w:t>
      </w:r>
      <w:r>
        <w:rPr>
          <w:color w:val="000000"/>
          <w:position w:val="-4"/>
          <w:sz w:val="21"/>
          <w:szCs w:val="21"/>
          <w:vertAlign w:val="subscript"/>
        </w:rPr>
        <w:t xml:space="preserve">4</w:t>
      </w:r>
      <w:r>
        <w:rPr>
          <w:color w:val="000000"/>
          <w:sz w:val="24"/>
          <w:szCs w:val="24"/>
        </w:rPr>
        <w:t xml:space="preserve"> experiment</w:t>
      </w:r>
    </w:p>
    <w:p>
      <w:pPr>
        <w:widowControl w:val="on"/>
        <w:pBdr/>
        <w:spacing w:before="240" w:after="240" w:line="240" w:lineRule="auto"/>
        <w:ind w:left="0" w:right="0"/>
        <w:jc w:val="left"/>
      </w:pPr>
      <w:r>
        <w:rPr>
          <w:color w:val="000000"/>
          <w:sz w:val="24"/>
          <w:szCs w:val="24"/>
        </w:rPr>
        <w:t xml:space="preserve">         II.    AAF/CCl</w:t>
      </w:r>
      <w:r>
        <w:rPr>
          <w:color w:val="000000"/>
          <w:position w:val="-4"/>
          <w:sz w:val="21"/>
          <w:szCs w:val="21"/>
          <w:vertAlign w:val="subscript"/>
        </w:rPr>
        <w:t xml:space="preserve">4</w:t>
      </w:r>
      <w:r>
        <w:rPr>
          <w:color w:val="000000"/>
          <w:sz w:val="24"/>
          <w:szCs w:val="24"/>
        </w:rPr>
        <w:t xml:space="preserve"> experiment, after three months another AAF/CCl</w:t>
      </w:r>
      <w:r>
        <w:rPr>
          <w:color w:val="000000"/>
          <w:position w:val="-4"/>
          <w:sz w:val="21"/>
          <w:szCs w:val="21"/>
          <w:vertAlign w:val="subscript"/>
        </w:rPr>
        <w:t xml:space="preserve">4</w:t>
      </w:r>
      <w:r>
        <w:rPr>
          <w:color w:val="000000"/>
          <w:sz w:val="24"/>
          <w:szCs w:val="24"/>
        </w:rPr>
        <w:t xml:space="preserve"> experiment</w:t>
      </w:r>
    </w:p>
    <w:p>
      <w:pPr>
        <w:widowControl w:val="on"/>
        <w:pBdr/>
        <w:spacing w:before="240" w:after="240" w:line="240" w:lineRule="auto"/>
        <w:ind w:left="0" w:right="0"/>
        <w:jc w:val="left"/>
      </w:pPr>
      <w:r>
        <w:rPr>
          <w:color w:val="000000"/>
          <w:sz w:val="24"/>
          <w:szCs w:val="24"/>
        </w:rPr>
        <w:t xml:space="preserve">         III.   intraperitoneal saline, after three months AAF/CCl</w:t>
      </w:r>
      <w:r>
        <w:rPr>
          <w:color w:val="000000"/>
          <w:position w:val="-4"/>
          <w:sz w:val="21"/>
          <w:szCs w:val="21"/>
          <w:vertAlign w:val="subscript"/>
        </w:rPr>
        <w:t xml:space="preserve">4</w:t>
      </w:r>
      <w:r>
        <w:rPr>
          <w:color w:val="000000"/>
          <w:sz w:val="24"/>
          <w:szCs w:val="24"/>
        </w:rPr>
        <w:t xml:space="preserve"> experiment (control group)</w:t>
      </w:r>
    </w:p>
    <w:p>
      <w:pPr>
        <w:widowControl w:val="on"/>
        <w:pBdr/>
        <w:spacing w:before="240" w:after="240" w:line="240" w:lineRule="auto"/>
        <w:ind w:left="0" w:right="0"/>
        <w:jc w:val="left"/>
      </w:pPr>
      <w:r>
        <w:rPr>
          <w:color w:val="000000"/>
          <w:sz w:val="24"/>
          <w:szCs w:val="24"/>
        </w:rPr>
        <w:t xml:space="preserve">Upon the completion of the test AAF/CCl</w:t>
      </w:r>
      <w:r>
        <w:rPr>
          <w:color w:val="000000"/>
          <w:position w:val="-4"/>
          <w:sz w:val="21"/>
          <w:szCs w:val="21"/>
          <w:vertAlign w:val="subscript"/>
        </w:rPr>
        <w:t xml:space="preserve">4</w:t>
      </w:r>
      <w:r>
        <w:rPr>
          <w:color w:val="000000"/>
          <w:sz w:val="24"/>
          <w:szCs w:val="24"/>
        </w:rPr>
        <w:t xml:space="preserve"> experiments, the animals were sacrificed in identical time points. The first stage of regeneration, the oval cell proliferation was visualized on frozen sections by an oval cell specific OV-6 antibody immunostaining, the second stage, the foci were recognized by fluorescent streptavidine binding. The immunofluorescent stainings were quantitated by morphometric analysis.</w:t>
      </w:r>
    </w:p>
    <w:p>
      <w:pPr>
        <w:widowControl w:val="on"/>
        <w:pBdr/>
        <w:spacing w:before="240" w:after="240" w:line="240" w:lineRule="auto"/>
        <w:ind w:left="0" w:right="0"/>
        <w:jc w:val="left"/>
      </w:pPr>
      <w:r>
        <w:rPr>
          <w:color w:val="000000"/>
          <w:sz w:val="24"/>
          <w:szCs w:val="24"/>
        </w:rPr>
        <w:t xml:space="preserve">In both experimental groups (I and II) the oval cells as well as the foci rouse earlier than in the control group. Thus the intraparenchymal ductules function as an expanded hepatic progenitor cell compartment and their presence is able to accelerate liver regeneration.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90406">
    <w:multiLevelType w:val="hybridMultilevel"/>
    <w:lvl w:ilvl="0" w:tplc="89368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90406">
    <w:abstractNumId w:val="93490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042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