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TŐKÉS</w:t>
            </w:r>
          </w:p>
          <w:p w:rsidR="00C275A3" w:rsidRDefault="00A96AEC" w:rsidP="00C275A3">
            <w:pPr>
              <w:pStyle w:val="Hallgatokepzes"/>
            </w:pPr>
            <w:r>
              <w:t>medical doctor</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Györke M.D.</w:t>
            </w:r>
          </w:p>
          <w:p w:rsidR="00DB4822" w:rsidRDefault="00DB4822" w:rsidP="00E11062">
            <w:pPr>
              <w:pStyle w:val="Konzulensek"/>
            </w:pPr>
            <w:r w:rsidRPr="00DB4822">
              <w:t>senior research fellow, SE ÁOK</w:t>
            </w:r>
          </w:p>
        </w:tc>
      </w:tr>
      <w:tr w:rsidR="00DB4822" w:rsidTr="00DB4822">
        <w:tc>
          <w:tcPr>
            <w:tcW w:w="9854" w:type="dxa"/>
          </w:tcPr>
          <w:p w:rsidR="00DB4822" w:rsidRPr="00DB4822" w:rsidRDefault="00DB4822" w:rsidP="004D7940">
            <w:pPr>
              <w:pStyle w:val="Konzulensek"/>
            </w:pPr>
            <w:r w:rsidRPr="00DB4822">
              <w:t>Magdolna Dank M.D, PhD.</w:t>
            </w:r>
          </w:p>
          <w:p w:rsidR="00DB4822" w:rsidRDefault="00DB4822" w:rsidP="00E11062">
            <w:pPr>
              <w:pStyle w:val="Konzulensek"/>
            </w:pPr>
            <w:r w:rsidRPr="00DB4822">
              <w:t>associate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FDG-PET-CT in the evaluation of primary systemic therapy in breast cancer: links between metabolic and pathological remission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role of metabolic imaging is increasing in the measurement of early therapeutic response during the treatment of oncological diseases. In our research we tried to reveal the relationship between two methods which are used in the measurement of the therapeutic response – metabolic imaging techniques and pathological evaluation methods – in a group of high risk breast cancer patients who were received primary systemic treatment (PST). Aim: The authors analyzed retrospectively the relationship between the metabolic response and changes in Ki-67, a proliferation marker.</w:t>
      </w:r>
    </w:p>
    <w:p>
      <w:pPr>
        <w:widowControl w:val="on"/>
        <w:pBdr/>
        <w:spacing w:before="240" w:after="240" w:line="240" w:lineRule="auto"/>
        <w:ind w:left="0" w:right="0"/>
        <w:jc w:val="left"/>
      </w:pPr>
      <w:r>
        <w:rPr>
          <w:color w:val="000000"/>
          <w:sz w:val="24"/>
          <w:szCs w:val="24"/>
        </w:rPr>
        <w:t xml:space="preserve">Methods: We report 35 patients (34 women and 1 man) treated with PST in our department during 2008-2011. We excluded those patients from our research who had distant metastases (revealed by the pre-operative PET-CT scan), and those who refused the surgical treatment (lack of tissue samples). The staging FDG-PET-CT scans were happened before and after the therapy (before the surgery) as well. SUVs (Standardized Uptake Values) and morphological changes in the primary tumor (PT) and the axillary lymph node (AL) region were evaluated in every patient. Calculated ΔSUVs were compared with Ki-67 proliferation marker (measured in the biopsies and surgical specimens with immuno-histochemistry). For analyzing the changes we used Wilcoxon signed-rank test and Spearman’s rank correlation.</w:t>
      </w:r>
    </w:p>
    <w:p>
      <w:pPr>
        <w:widowControl w:val="on"/>
        <w:pBdr/>
        <w:spacing w:before="240" w:after="240" w:line="240" w:lineRule="auto"/>
        <w:ind w:left="0" w:right="0"/>
        <w:jc w:val="left"/>
      </w:pPr>
      <w:r>
        <w:rPr>
          <w:color w:val="000000"/>
          <w:sz w:val="24"/>
          <w:szCs w:val="24"/>
        </w:rPr>
        <w:t xml:space="preserve">Results: The decrease of SUV – the metabolic response – was significant in the PT region (12,33 vs. 2,38, p&lt;0,001 ) and also in the AL region (11,15 vs. 2,48, p&lt;0,001). The significant reduction in the size of the PTs (31,74 vs. 13,29 mm, p&lt;0,001) was also observed in the AL region (19,33 vs. 10,1 mm, p=0,00108). Decrease of Ki-67 was significant (48,2 vs. 14,29%, p&lt;0,001). Significant correlation was found between Ki-67 and SUV before the PST (r=+0,35, p=0,037), initial Ki-67 and ΔSUV (r=+0,41, p=0,015), and ΔKi-67 and ΔSUV (r=+0,47, p=0,004).</w:t>
      </w:r>
    </w:p>
    <w:p>
      <w:pPr>
        <w:widowControl w:val="on"/>
        <w:pBdr/>
        <w:spacing w:before="240" w:after="240" w:line="240" w:lineRule="auto"/>
        <w:ind w:left="0" w:right="0"/>
        <w:jc w:val="left"/>
      </w:pPr>
      <w:r>
        <w:rPr>
          <w:color w:val="000000"/>
          <w:sz w:val="24"/>
          <w:szCs w:val="24"/>
        </w:rPr>
        <w:t xml:space="preserve">Conclusions: The metabolic changes were more sensitive in the measurement of the therapeutic response than morphological remission, and they correlated well with the pathological response, even in not standardized clinical conditions. Because of the good correlation between metabolic changes and pathological response markers, the FDG-PET-CT results may play an essential role in the indication of PST, and it can be successfully used in assessing the early therapeutic response of tumors.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82279">
    <w:multiLevelType w:val="hybridMultilevel"/>
    <w:lvl w:ilvl="0" w:tplc="452357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82279">
    <w:abstractNumId w:val="330822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31446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