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NEDELYKOV</w:t>
            </w:r>
          </w:p>
          <w:p w:rsidR="00C275A3" w:rsidRDefault="00A96AEC" w:rsidP="00C275A3">
            <w:pPr>
              <w:pStyle w:val="Hallgatokepzes"/>
            </w:pPr>
            <w:r>
              <w:t>General 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ADRIEN RÁCZ</w:t>
            </w:r>
          </w:p>
          <w:p w:rsidR="00DB4822" w:rsidRDefault="00C275A3" w:rsidP="004D7940">
            <w:pPr>
              <w:pStyle w:val="Hallgatokepzes"/>
            </w:pPr>
            <w:r>
              <w:t>General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Nándor Pintér MD</w:t>
            </w:r>
          </w:p>
          <w:p w:rsidR="00DB4822" w:rsidRDefault="00DB4822" w:rsidP="00E11062">
            <w:pPr>
              <w:pStyle w:val="Konzulensek"/>
            </w:pPr>
            <w:r w:rsidRPr="00DB4822">
              <w:t>professor's assistant, SE ÁOK</w:t>
            </w:r>
          </w:p>
        </w:tc>
      </w:tr>
      <w:tr w:rsidR="00DB4822" w:rsidTr="00DB4822">
        <w:tc>
          <w:tcPr>
            <w:tcW w:w="9854" w:type="dxa"/>
          </w:tcPr>
          <w:p w:rsidR="00DB4822" w:rsidRPr="00DB4822" w:rsidRDefault="00DB4822" w:rsidP="004D7940">
            <w:pPr>
              <w:pStyle w:val="Konzulensek"/>
            </w:pPr>
            <w:r w:rsidRPr="00DB4822">
              <w:t>Péter Sótonyi MD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Magnetic Resonance Imaging (MRI) study of the brain in patients after carotid artery stenting and carotid endarterectomy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We compared on MRI the number of new iscemic lesions and the diffusion values of the normal appearing white matter (NAWM) of patients underwent carotid stenting (CAS) and endarterectomy.</w:t>
      </w:r>
    </w:p>
    <w:p>
      <w:pPr>
        <w:widowControl w:val="on"/>
        <w:pBdr/>
        <w:spacing w:before="240" w:after="240" w:line="240" w:lineRule="auto"/>
        <w:ind w:left="0" w:right="0"/>
        <w:jc w:val="left"/>
      </w:pPr>
      <w:r>
        <w:rPr>
          <w:color w:val="000000"/>
          <w:sz w:val="24"/>
          <w:szCs w:val="24"/>
        </w:rPr>
        <w:br/>
        <w:t xml:space="preserve">Methods: 20 patients were enrolled into our study (CAS:10, CEA:10, their average age was 70,5 and 69 year). Conventional MRI and diffusion tensor images (DTI) were made of 9 patients in each group within 3 days before and within 7 days after the procedures. We compared the number of restricted diffusion areas (rDWI) and diffusion values of the NAWM from 22 cerebral regions on the pre- and postoperative images.</w:t>
      </w:r>
    </w:p>
    <w:p>
      <w:pPr>
        <w:widowControl w:val="on"/>
        <w:pBdr/>
        <w:spacing w:before="240" w:after="240" w:line="240" w:lineRule="auto"/>
        <w:ind w:left="0" w:right="0"/>
        <w:jc w:val="left"/>
      </w:pPr>
      <w:r>
        <w:rPr>
          <w:color w:val="000000"/>
          <w:sz w:val="24"/>
          <w:szCs w:val="24"/>
        </w:rPr>
        <w:br/>
        <w:t xml:space="preserve">Results: Preoperatively we found CAS:0, CEA:4 rDWI leasions, postoperatively we noticed CAS: 38, CEA:2 new rDWI lesions. The size of the lesions ranged 2-6 mm, located bilateral in the CAS group. Comparing the ischemic (isch) and non-ischemic (n-isch) groups we found significant fractional anisotropy (FA) differences bilaterally in the basal ganglia pre- and postoperatively (right basal ganglia preop: isch: 0,384± 0,0663,n-isch: 0,306 ±0,0621,p=0,042; right basal ganglia postop: isch: 0,361 ±0,337, n-isch: 0,266 ±0,250, p=0,048; left basal ganglia preop: isch: 0,434 ±0,0670, n-isch: 0,327 ±0,0547, p=0,004; left basal ganglia postop: isch: 0,401 ±0,0650, n-isch: 0,325 ±0,0609, p=0,046 ). Also we found significant apparent diffusion coefficient (ADC) differences preoperatively between the isch and n-isch groups in the left basal ganglia (isch: 0,672 ±0,0561, n-isch: 0,776 ±0,0620, p=0,007). There were significant differences in the isch group between the pre- and postoparative status in the left parietal region FA values (preop: 0,444±0,0348, postop: 0,364 ±0,0494, p=0,04) and in the left basal ganglia ADC values (preop: 0,672 ±0,0561, postop: 0,759 ±0,0255, p=0,03). There were no hemispheric stroke or hemorrhage.</w:t>
      </w:r>
    </w:p>
    <w:p>
      <w:pPr>
        <w:widowControl w:val="on"/>
        <w:pBdr/>
        <w:spacing w:before="240" w:after="240" w:line="240" w:lineRule="auto"/>
        <w:ind w:left="0" w:right="0"/>
        <w:jc w:val="left"/>
      </w:pPr>
      <w:r>
        <w:rPr>
          <w:color w:val="000000"/>
          <w:sz w:val="24"/>
          <w:szCs w:val="24"/>
        </w:rPr>
        <w:t xml:space="preserve">Conclusion: The number of new ischaemic lesions was significantly higher in the CAS group. According to the size and location of the lesions we assume microembolization in the background. Diffusion changes in the parietal lobe presume that the new ischemic leasions noticed in the associative cerebral regions might play role in the decline of long-term cognitive functions. The role of the FA and ADC alterations in the basal ganglia is not clearly defined, more studies need to be evaluated concerning this cerebral area. In the near future we will enroll more patiens and we plan further follow up.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17835">
    <w:multiLevelType w:val="hybridMultilevel"/>
    <w:lvl w:ilvl="0" w:tplc="72538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17835">
    <w:abstractNumId w:val="56917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809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