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NAGY MD</w:t>
            </w:r>
          </w:p>
          <w:p w:rsidR="00C275A3" w:rsidRDefault="00A96AEC" w:rsidP="00C275A3">
            <w:pPr>
              <w:pStyle w:val="Hallgatokepzes"/>
            </w:pPr>
            <w:r>
              <w:t>MD</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Eke MD</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Extracorporeal circulation during heart surgery can lead to detectable hemodynamics dysfunction of the brain.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Even routine surgery can challenge the brain, not to mention open-heart surgery with its multiple stressors. In particular, postoperative cognitive disfunction (POCD) frequently emerges when non-pulsatile extracorporeal heart pump is used. In its etiology, impaired pressure autoregulation with an elevated lower autoregulatory threshold can be considered. Based on previous results, impacting neuronal activity on the cerebrovascular system induces anticorrelation between the fluctuating hemoglobin compartments (HbO</w:t>
      </w:r>
      <w:r>
        <w:rPr>
          <w:color w:val="000000"/>
          <w:position w:val="-4"/>
          <w:sz w:val="21"/>
          <w:szCs w:val="21"/>
          <w:vertAlign w:val="subscript"/>
        </w:rPr>
        <w:t xml:space="preserve">2</w:t>
      </w:r>
      <w:r>
        <w:rPr>
          <w:color w:val="000000"/>
          <w:sz w:val="24"/>
          <w:szCs w:val="24"/>
        </w:rPr>
        <w:t xml:space="preserve">, Hb) of the brain cortex. Our aim in this study was (1) to investigate if this physiologically demand-regulated pattern remains intact during the non-pulsatile perfusion of heart surgery, and (2) to caracterise the cerebral hemodinamic status by novel parameters, which can aid in future optimization of the surgical protocol.</w:t>
      </w:r>
    </w:p>
    <w:p>
      <w:pPr>
        <w:widowControl w:val="on"/>
        <w:pBdr/>
        <w:spacing w:before="240" w:after="240" w:line="240" w:lineRule="auto"/>
        <w:ind w:left="0" w:right="0"/>
        <w:jc w:val="left"/>
      </w:pPr>
      <w:r>
        <w:rPr>
          <w:color w:val="000000"/>
          <w:sz w:val="24"/>
          <w:szCs w:val="24"/>
        </w:rPr>
        <w:t xml:space="preserve">5 male and 5 female patients (70±7.5 year) underwent non-pulsatile heart-lung pump assisted (NP-CPB: 2.4 L/min/m</w:t>
      </w:r>
      <w:r>
        <w:rPr>
          <w:color w:val="000000"/>
          <w:position w:val="4"/>
          <w:sz w:val="21"/>
          <w:szCs w:val="21"/>
          <w:vertAlign w:val="superscript"/>
        </w:rPr>
        <w:t xml:space="preserve">2</w:t>
      </w:r>
      <w:r>
        <w:rPr>
          <w:color w:val="000000"/>
          <w:sz w:val="24"/>
          <w:szCs w:val="24"/>
        </w:rPr>
        <w:t xml:space="preserve">, 120±25 minute pump time, 50-70 mmHg MAP) heart surgery with a protocol prescribed by the Department of Anesthesiology and Intensive Therapy, Semmelweis University. With NIRS, the relative change in HbO</w:t>
      </w:r>
      <w:r>
        <w:rPr>
          <w:color w:val="000000"/>
          <w:position w:val="-4"/>
          <w:sz w:val="21"/>
          <w:szCs w:val="21"/>
          <w:vertAlign w:val="subscript"/>
        </w:rPr>
        <w:t xml:space="preserve">2</w:t>
      </w:r>
      <w:r>
        <w:rPr>
          <w:color w:val="000000"/>
          <w:sz w:val="24"/>
          <w:szCs w:val="24"/>
        </w:rPr>
        <w:t xml:space="preserve"> and Hb concentrations were continuously recorded at 3Hz sample frequency. The correlation coefficient of hemoglobin compartments (r) and its within-patient fluctuation (SDr) were calculated for 15-minute steady state periods before anesthesia (C) before (*M), on (M) and after (M*) heart pump. Regional saturation (StO</w:t>
      </w:r>
      <w:r>
        <w:rPr>
          <w:color w:val="000000"/>
          <w:position w:val="-4"/>
          <w:sz w:val="21"/>
          <w:szCs w:val="21"/>
          <w:vertAlign w:val="subscript"/>
        </w:rPr>
        <w:t xml:space="preserve">2</w:t>
      </w:r>
      <w:r>
        <w:rPr>
          <w:color w:val="000000"/>
          <w:sz w:val="24"/>
          <w:szCs w:val="24"/>
        </w:rPr>
        <w:t xml:space="preserve">) was estimated from the NIRS signals.</w:t>
      </w:r>
    </w:p>
    <w:p>
      <w:pPr>
        <w:widowControl w:val="on"/>
        <w:pBdr/>
        <w:spacing w:before="240" w:after="240" w:line="240" w:lineRule="auto"/>
        <w:ind w:left="0" w:right="0"/>
        <w:jc w:val="left"/>
      </w:pPr>
      <w:r>
        <w:rPr>
          <w:color w:val="000000"/>
          <w:sz w:val="24"/>
          <w:szCs w:val="24"/>
        </w:rPr>
        <w:t xml:space="preserve">Results show that the anticorrelated (r&lt;0) structure of the fluctuating HbO</w:t>
      </w:r>
      <w:r>
        <w:rPr>
          <w:color w:val="000000"/>
          <w:position w:val="-4"/>
          <w:sz w:val="21"/>
          <w:szCs w:val="21"/>
          <w:vertAlign w:val="subscript"/>
        </w:rPr>
        <w:t xml:space="preserve">2</w:t>
      </w:r>
      <w:r>
        <w:rPr>
          <w:color w:val="000000"/>
          <w:sz w:val="24"/>
          <w:szCs w:val="24"/>
        </w:rPr>
        <w:t xml:space="preserve"> and Hb signals abolished on heart pump: r(C)=-0.59±0.20; r(*M)=-0.50±0.21; r(M)=0.04±0.11 [p&lt;0.0001 one-way ANOVA Newman-Keuls post-hoc test]; r(M*)=-0.51±0.18, concomitant with widened fluctuation dynamics: SDr(C)=±0.34±0.12; SDr(*M)=±0.42±0.12; SDr(M)=±0.57±0,60 [p&lt;0.0003]; SDr(M*)=±0,37±0,10. The regional saturation fell on heart pump: StO</w:t>
      </w:r>
      <w:r>
        <w:rPr>
          <w:color w:val="000000"/>
          <w:position w:val="-4"/>
          <w:sz w:val="21"/>
          <w:szCs w:val="21"/>
          <w:vertAlign w:val="subscript"/>
        </w:rPr>
        <w:t xml:space="preserve">2</w:t>
      </w:r>
      <w:r>
        <w:rPr>
          <w:color w:val="000000"/>
          <w:sz w:val="24"/>
          <w:szCs w:val="24"/>
        </w:rPr>
        <w:t xml:space="preserve">(*M)=0.42±0.02; StO</w:t>
      </w:r>
      <w:r>
        <w:rPr>
          <w:color w:val="000000"/>
          <w:position w:val="-4"/>
          <w:sz w:val="21"/>
          <w:szCs w:val="21"/>
          <w:vertAlign w:val="subscript"/>
        </w:rPr>
        <w:t xml:space="preserve">2</w:t>
      </w:r>
      <w:r>
        <w:rPr>
          <w:color w:val="000000"/>
          <w:sz w:val="24"/>
          <w:szCs w:val="24"/>
        </w:rPr>
        <w:t xml:space="preserve">(M)=0.33±0.06 [p&lt;0.05]; StO</w:t>
      </w:r>
      <w:r>
        <w:rPr>
          <w:color w:val="000000"/>
          <w:position w:val="-4"/>
          <w:sz w:val="21"/>
          <w:szCs w:val="21"/>
          <w:vertAlign w:val="subscript"/>
        </w:rPr>
        <w:t xml:space="preserve">2</w:t>
      </w:r>
      <w:r>
        <w:rPr>
          <w:color w:val="000000"/>
          <w:sz w:val="24"/>
          <w:szCs w:val="24"/>
        </w:rPr>
        <w:t xml:space="preserve"> (M*)=0.42±0.07.</w:t>
      </w:r>
    </w:p>
    <w:p>
      <w:pPr>
        <w:widowControl w:val="on"/>
        <w:pBdr/>
        <w:spacing w:before="240" w:after="240" w:line="240" w:lineRule="auto"/>
        <w:ind w:left="0" w:right="0"/>
        <w:jc w:val="left"/>
      </w:pPr>
      <w:r>
        <w:rPr>
          <w:color w:val="000000"/>
          <w:sz w:val="24"/>
          <w:szCs w:val="24"/>
        </w:rPr>
        <w:t xml:space="preserve">Increase in rHb indicates that the demand-driven distribution of oxygen in the monitored regions becomes supply-driven on heart pump. This change in the physiological hemodynamic pattern, and the inadequate overall oxygen supply to the brain tissue – as shown by decreased StO2 – may lead to tissue damage and thus to POCD. The coordinated changes seen in r and StO2 offer the bases for future personalization of NP-CPB protocol for an optimal target MAP.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53719">
    <w:multiLevelType w:val="hybridMultilevel"/>
    <w:lvl w:ilvl="0" w:tplc="19012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53719">
    <w:abstractNumId w:val="20653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32553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