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KOLOSSVARY M</w:t>
            </w:r>
          </w:p>
          <w:p w:rsidR="00C275A3" w:rsidRDefault="00A96AEC" w:rsidP="00C275A3">
            <w:pPr>
              <w:pStyle w:val="Hallgatokepzes"/>
            </w:pPr>
            <w:r>
              <w:t>Medicine</w:t>
            </w:r>
            <w:r>
              <w:br/>
            </w:r>
            <w:r w:rsidR="00E77B23">
              <w:t>Unified,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Kozák LR</w:t>
            </w:r>
          </w:p>
          <w:p w:rsidR="00DB4822" w:rsidRDefault="00DB4822" w:rsidP="00E11062">
            <w:pPr>
              <w:pStyle w:val="Konzulensek"/>
            </w:pPr>
            <w:r w:rsidRPr="00DB4822">
              <w:t>Lecturer,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Szabo M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Assesment of Neurodevelopmental Outcome in Term Asphyxiated Neonates Using Tract-Based Spatial Statistics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Purpose: Examine white matter differences between hypothermia-treated term asphyxiated</w:t>
      </w:r>
      <w:r>
        <w:rPr>
          <w:color w:val="000000"/>
          <w:sz w:val="24"/>
          <w:szCs w:val="24"/>
        </w:rPr>
        <w:br/>
        <w:t xml:space="preserve">infants with severe, moderate and mild neurodevelopmental outcome using Tract-Based</w:t>
      </w:r>
      <w:r>
        <w:rPr>
          <w:color w:val="000000"/>
          <w:sz w:val="24"/>
          <w:szCs w:val="24"/>
        </w:rPr>
        <w:br/>
        <w:t xml:space="preserve">Spatial Statistics (TBSS).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 and materials: 26 infants participated in this study; their neurodevelopmental</w:t>
      </w:r>
      <w:r>
        <w:rPr>
          <w:color w:val="000000"/>
          <w:sz w:val="24"/>
          <w:szCs w:val="24"/>
        </w:rPr>
        <w:br/>
        <w:t xml:space="preserve">outcome was assessed using the Bayley Scale of Infant Development-II between 18 and 24</w:t>
      </w:r>
      <w:r>
        <w:rPr>
          <w:color w:val="000000"/>
          <w:sz w:val="24"/>
          <w:szCs w:val="24"/>
        </w:rPr>
        <w:br/>
        <w:t xml:space="preserve">months. The outcome was considered ‘severe’ if both mental and motor scores were under</w:t>
      </w:r>
      <w:r>
        <w:rPr>
          <w:color w:val="000000"/>
          <w:sz w:val="24"/>
          <w:szCs w:val="24"/>
        </w:rPr>
        <w:br/>
        <w:t xml:space="preserve">70 (10 cases), ‘moderate’ if scores were above 70 (10 cases) and ‘mild’ if scores were above</w:t>
      </w:r>
      <w:r>
        <w:rPr>
          <w:color w:val="000000"/>
          <w:sz w:val="24"/>
          <w:szCs w:val="24"/>
        </w:rPr>
        <w:br/>
        <w:t xml:space="preserve">70 and no abnormality was seen on the apparent diffusion coefficient (ADC) images taken</w:t>
      </w:r>
      <w:r>
        <w:rPr>
          <w:color w:val="000000"/>
          <w:sz w:val="24"/>
          <w:szCs w:val="24"/>
        </w:rPr>
        <w:br/>
        <w:t xml:space="preserve">between the 1st and 7th day of life (6 cases). A retrospective analysis of the 32-direction</w:t>
      </w:r>
      <w:r>
        <w:rPr>
          <w:color w:val="000000"/>
          <w:sz w:val="24"/>
          <w:szCs w:val="24"/>
        </w:rPr>
        <w:br/>
        <w:t xml:space="preserve">diffusion tensor data collected using a 3T Philips Achieva scanner between the 1st and 22nd</w:t>
      </w:r>
      <w:r>
        <w:rPr>
          <w:color w:val="000000"/>
          <w:sz w:val="24"/>
          <w:szCs w:val="24"/>
        </w:rPr>
        <w:br/>
        <w:t xml:space="preserve">day of life was performed. Fractional Anisotropy (FA) maps were calculated from the fitted</w:t>
      </w:r>
      <w:r>
        <w:rPr>
          <w:color w:val="000000"/>
          <w:sz w:val="24"/>
          <w:szCs w:val="24"/>
        </w:rPr>
        <w:br/>
        <w:t xml:space="preserve">tensor model and TBSS was performed using FSL toolboxes (FSL v. 4.1).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The ‘severe’ group showed significant decrease in FA values (p&lt;0.05, corrected</w:t>
      </w:r>
      <w:r>
        <w:rPr>
          <w:color w:val="000000"/>
          <w:sz w:val="24"/>
          <w:szCs w:val="24"/>
        </w:rPr>
        <w:br/>
        <w:t xml:space="preserve">for family wise error) along the corticospinal tract compared to the ‘moderate’ group and</w:t>
      </w:r>
      <w:r>
        <w:rPr>
          <w:color w:val="000000"/>
          <w:sz w:val="24"/>
          <w:szCs w:val="24"/>
        </w:rPr>
        <w:br/>
        <w:t xml:space="preserve">a widespread diffuse decrease in FA values compared to the ‘mild’ group. No significant</w:t>
      </w:r>
      <w:r>
        <w:rPr>
          <w:color w:val="000000"/>
          <w:sz w:val="24"/>
          <w:szCs w:val="24"/>
        </w:rPr>
        <w:br/>
        <w:t xml:space="preserve">differences were seen between the moderate and the mild groups.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Conclusions: To our knowledge, we were the first to compare the white matter of</w:t>
      </w:r>
      <w:r>
        <w:rPr>
          <w:color w:val="000000"/>
          <w:sz w:val="24"/>
          <w:szCs w:val="24"/>
        </w:rPr>
        <w:br/>
        <w:t xml:space="preserve">hypothermia treated term neonates suffering from perinatal asphyxia using TBSS. Our</w:t>
      </w:r>
      <w:r>
        <w:rPr>
          <w:color w:val="000000"/>
          <w:sz w:val="24"/>
          <w:szCs w:val="24"/>
        </w:rPr>
        <w:br/>
        <w:t xml:space="preserve">results show that TBSS is a promising technique to predict later neurodevelopmental</w:t>
      </w:r>
      <w:r>
        <w:rPr>
          <w:color w:val="000000"/>
          <w:sz w:val="24"/>
          <w:szCs w:val="24"/>
        </w:rPr>
        <w:br/>
        <w:t xml:space="preserve">outcome in this patient group.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223785">
    <w:multiLevelType w:val="hybridMultilevel"/>
    <w:lvl w:ilvl="0" w:tplc="86367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223785">
    <w:abstractNumId w:val="902237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5295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