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HIDI</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RICHÁRD GÁBOR TÓTH</w:t>
            </w:r>
          </w:p>
          <w:p w:rsidR="00DB4822" w:rsidRDefault="00C275A3" w:rsidP="004D7940">
            <w:pPr>
              <w:pStyle w:val="Hallgatokepzes"/>
            </w:pPr>
            <w:r>
              <w:t>general medicine</w:t>
            </w:r>
            <w:r w:rsidR="00A96AEC">
              <w:br/>
              <w:t>Unified, 12.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Radovits MD, PhD</w:t>
            </w:r>
          </w:p>
          <w:p w:rsidR="00DB4822" w:rsidRDefault="00DB4822" w:rsidP="00E11062">
            <w:pPr>
              <w:pStyle w:val="Konzulensek"/>
            </w:pPr>
            <w:r w:rsidRPr="00DB4822">
              <w:t>clinical physician, SE ÁOK</w:t>
            </w:r>
          </w:p>
        </w:tc>
      </w:tr>
      <w:tr w:rsidR="00DB4822" w:rsidTr="00DB4822">
        <w:tc>
          <w:tcPr>
            <w:tcW w:w="9854" w:type="dxa"/>
          </w:tcPr>
          <w:p w:rsidR="00DB4822" w:rsidRPr="00DB4822" w:rsidRDefault="00DB4822" w:rsidP="004D7940">
            <w:pPr>
              <w:pStyle w:val="Konzulensek"/>
            </w:pPr>
            <w:r w:rsidRPr="00DB4822">
              <w:t>Gábor Veres MD, PhD</w:t>
            </w:r>
          </w:p>
          <w:p w:rsidR="00DB4822" w:rsidRDefault="00DB4822" w:rsidP="00E11062">
            <w:pPr>
              <w:pStyle w:val="Konzulensek"/>
            </w:pPr>
            <w:r w:rsidRPr="00DB4822">
              <w:t>clinical physician,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Antifibrinolytics for reduction of postoperative bleeding: aprotinin and tranexamic acid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Anti-haemorrhagic drugs are being used to prevent and treat haemorrhagic complications in surgery. The serine-protease-inhibitor aprotinin, an antifibrinolytic agent, was used for decades until the BART-study revealed its unfavourable effects on mortality that led to its withdrawal from the market. Today, the lysine-analogue tranexamic acid (TA) is available for the clinical routine.</w:t>
      </w:r>
      <w:r>
        <w:rPr>
          <w:color w:val="000000"/>
          <w:sz w:val="24"/>
          <w:szCs w:val="24"/>
        </w:rPr>
        <w:br/>
        <w:t xml:space="preserve">Aims: We compared the effects of aprotinin and TA on postoperative blood loss, hemodynamic, hemostaseologic and inflammatory parameters, using a canine model of cardiopulmonary bypass (CPB).</w:t>
      </w:r>
      <w:r>
        <w:rPr>
          <w:color w:val="000000"/>
          <w:sz w:val="24"/>
          <w:szCs w:val="24"/>
        </w:rPr>
        <w:br/>
        <w:t xml:space="preserve">Methods: Control dogs received placebo, treated groups were given aprotinin or TA. All animals received heparin and underwent 90min of CPB. After weaning from the heart-lung-machine, protamine was administered followed by 130min observation. Blood loss and coagulation parameters were determined regularly, hemodynamic parameters were monitorized continuously. To assess the systemic inflammatory response induced by CPB, plasma levels of IL-6, IL-8 and TNF-α were determined by ELISA.</w:t>
      </w:r>
      <w:r>
        <w:rPr>
          <w:color w:val="000000"/>
          <w:sz w:val="24"/>
          <w:szCs w:val="24"/>
        </w:rPr>
        <w:br/>
        <w:t xml:space="preserve">Results: Compared to controls, aprotinin significantly reduced blood loss (105±22ml vs. 41±8ml), while TA proved to be less effective (65±16ml). Regarding hemodynamic and coagulation parameters no significant difference was detected among the groups. The rise of proinflammatory cytokines during CPB was tendencially decreased by aprotinin, while a significant anti-inflammatory effect was observed in the TA group (TNFα 90min after starting CPB: 5.2±1.2ng/ml control vs. 3.7±0.9ng/ml aprotinin vs. 0.8±0.3ng/ml TA).</w:t>
      </w:r>
      <w:r>
        <w:rPr>
          <w:color w:val="000000"/>
          <w:sz w:val="24"/>
          <w:szCs w:val="24"/>
        </w:rPr>
        <w:br/>
        <w:t xml:space="preserve">Conclusions: Compared to aprotinin, the clinically used TA exerts lower anti-haemorrhagic but stronger anti-inflammatory efficacy. Our work points out the need for development of novel pharmacological tools for effective and safe postoperative blood loss reduction.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24298">
    <w:multiLevelType w:val="hybridMultilevel"/>
    <w:lvl w:ilvl="0" w:tplc="49971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24298">
    <w:abstractNumId w:val="80324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684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