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NOÉMI CSIBI</w:t>
            </w:r>
          </w:p>
          <w:p w:rsidR="00C275A3" w:rsidRDefault="00A96AEC" w:rsidP="00C275A3">
            <w:pPr>
              <w:pStyle w:val="Hallgatokepzes"/>
            </w:pPr>
            <w:r>
              <w:t>faculty of medicine</w:t>
            </w:r>
            <w:r>
              <w:br/>
            </w:r>
            <w:r w:rsidR="00E77B23">
              <w:t>Unified, 12. semester</w:t>
            </w:r>
          </w:p>
          <w:p w:rsidR="00C265CE" w:rsidRPr="009E5FF1" w:rsidRDefault="00E77B23" w:rsidP="00C275A3">
            <w:pPr>
              <w:pStyle w:val="Hallgatokepzes"/>
              <w:rPr>
                <w:b/>
                <w:caps/>
              </w:rPr>
            </w:pPr>
            <w:r>
              <w:t>Semmelweis University</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PATRÍCIA JACSÓ</w:t>
            </w:r>
          </w:p>
          <w:p w:rsidR="00DB4822" w:rsidRDefault="00C275A3" w:rsidP="004D7940">
            <w:pPr>
              <w:pStyle w:val="Hallgatokepzes"/>
            </w:pPr>
            <w:r>
              <w:t>faculty of medicine</w:t>
            </w:r>
            <w:r w:rsidR="00A96AEC">
              <w:br/>
              <w:t>Unified, 10. semester</w:t>
            </w:r>
          </w:p>
          <w:p w:rsidR="00DB4822" w:rsidRDefault="00DB4822" w:rsidP="004D7940">
            <w:pPr>
              <w:pStyle w:val="Hallgatointezmeny-kar"/>
            </w:pPr>
            <w:r>
              <w:t>Semmelweis University</w:t>
            </w:r>
          </w:p>
          <w:p w:rsidR="00C265CE" w:rsidRPr="009E5FF1" w:rsidRDefault="00DB4822" w:rsidP="004D7940">
            <w:pPr>
              <w:pStyle w:val="Hallgatointezmeny-kar"/>
              <w:rPr>
                <w:b/>
                <w:caps/>
              </w:rPr>
            </w:pPr>
            <w:r>
              <w:t>Faculty of Medicine</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Szabolcs Várbíró, MD</w:t>
            </w:r>
          </w:p>
          <w:p w:rsidR="00DB4822" w:rsidRDefault="00DB4822" w:rsidP="00E11062">
            <w:pPr>
              <w:pStyle w:val="Konzulensek"/>
            </w:pPr>
            <w:r w:rsidRPr="00DB4822">
              <w:t>assistant professor, Phd, SE ÁOK</w:t>
            </w:r>
          </w:p>
        </w:tc>
      </w:tr>
      <w:tr w:rsidR="00DB4822" w:rsidTr="00DB4822">
        <w:tc>
          <w:tcPr>
            <w:tcW w:w="9854" w:type="dxa"/>
          </w:tcPr>
          <w:p w:rsidR="00DB4822" w:rsidRPr="00DB4822" w:rsidRDefault="00DB4822" w:rsidP="004D7940">
            <w:pPr>
              <w:pStyle w:val="Konzulensek"/>
            </w:pPr>
            <w:r w:rsidRPr="00DB4822">
              <w:t>György Nádasy, MD</w:t>
            </w:r>
          </w:p>
          <w:p w:rsidR="00DB4822" w:rsidRDefault="00DB4822" w:rsidP="00E11062">
            <w:pPr>
              <w:pStyle w:val="Konzulensek"/>
            </w:pPr>
            <w:r w:rsidRPr="00DB4822">
              <w:t>associate professor, Phd,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Alterations of venous biomechanics and morphology in a rat model of Polycystic Ovary Syndrome – Effects of vitamin D3</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PCOS is a hyperandrogenic condition affecting 5 to 8% of women worldwide. In most patients symptoms of metabolic syndrome occur as well. In our animal model we examined an early state of the syndrome with the aim to understand the occurring pre-hypertensive changes. By knowing these it might become possible to design targeted therapy against them, so as to prevent the generally known target-organ damages.</w:t>
      </w:r>
      <w:r>
        <w:rPr>
          <w:color w:val="000000"/>
          <w:sz w:val="24"/>
          <w:szCs w:val="24"/>
        </w:rPr>
        <w:br/>
        <w:t xml:space="preserve">Methods: Female Wistar rats were separated into 3 groups by receiving dihydrotestosterone (83 ug/day, subcutaneous pellet, DHT group) or dihydrotestosterone and vitamin D3 treatment (DHT+D3 group, D3: 120 ng/100g/week), or neither (control group). After 10 weeks we examined venous biomechanics and morphology using pressure microangiometry, measuring outer and inner diameter in normal Krebs- Ringer solution, during norepinephrine contraction, and in Ca-free Krebs solution, after maximal vasorelaxation.</w:t>
      </w:r>
      <w:r>
        <w:rPr>
          <w:color w:val="000000"/>
          <w:sz w:val="24"/>
          <w:szCs w:val="24"/>
        </w:rPr>
        <w:br/>
        <w:t xml:space="preserve">Results: The outer radii during Ca-free relaxation were significantly higher in the DHT group than in the other two groups (p&lt;0.05). The wall thickness was significantly increased in the DHT-treated vessels compared to the control group (p&lt;0.05). The tangential wall stress did not differ in the three groups in Ca-free solution, but it was significantly smaller in DHT and DHT+D3 groups compared to the control group during norepinephrine contraction (p&lt;0.05). The elastic moduli of the DHT+D3 treated animals were significantly lower in Ca-free solution than those in the other two groups (p&lt;0.001). We found a similar tendency while plotting the elastic moduli in the function of tangential wall stress (p&lt;0.05). The relaxed distensibility was significantly greater in the DHT group than in the other two groups (p&lt;0.005).</w:t>
      </w:r>
      <w:r>
        <w:rPr>
          <w:color w:val="000000"/>
          <w:sz w:val="24"/>
          <w:szCs w:val="24"/>
        </w:rPr>
        <w:br/>
        <w:t xml:space="preserve">Conclusion: Administering DHT for only 70 days – up against the 90 day protocol known from the literature ¬ did not lead to significant changes in blood pressure between the three groups. The changes in venous biomechanics and morphology in this normotensive state can be considered pre-hypertensive alterations. Compared to the DHT group, by concomitant vitamin D3 treatment we found lower elastic moduli and distensibility of the veins, which might be local adaptation mechanisms preceding the development of hypertension. Our results suggest that vitamin D3 can also be used as adjuvant therapy in PCOS in order to diminish the increased cardiovascular risk.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482031">
    <w:multiLevelType w:val="hybridMultilevel"/>
    <w:lvl w:ilvl="0" w:tplc="487565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482031">
    <w:abstractNumId w:val="854820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8988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