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LÉVAI</w:t>
            </w:r>
          </w:p>
          <w:p w:rsidR="00C275A3" w:rsidRDefault="00A96AEC" w:rsidP="00C275A3">
            <w:pPr>
              <w:pStyle w:val="Hallgatokepzes"/>
            </w:pPr>
            <w:r>
              <w:t>Business Administration</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Tóth</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Competitiveness of Hungarian dairy manufacturers’ business models – Is small beautiful?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Ernst Schumacher, the well-known and often citated economist, people have two choices for the future: die economically or survive uneconomically. He calls into question if efficiency and economic operation are really the only way to the long term business success. Inspired by this though I analysed selected small-sized daily manufacturers’ future opportunities.</w:t>
      </w:r>
    </w:p>
    <w:p>
      <w:pPr>
        <w:widowControl w:val="on"/>
        <w:pBdr/>
        <w:spacing w:before="240" w:after="240" w:line="240" w:lineRule="auto"/>
        <w:ind w:left="0" w:right="0"/>
        <w:jc w:val="left"/>
      </w:pPr>
      <w:r>
        <w:rPr>
          <w:color w:val="000000"/>
          <w:sz w:val="24"/>
          <w:szCs w:val="24"/>
        </w:rPr>
        <w:t xml:space="preserve">In my paper written in 2011 I examined three small-sized Hungarian dairy manufacturers’ competitiveness based on their different business models. The fundamental assumption behind my research was my personal belief that not only the dairy companies benefitting from the economies of scale could be successful in our increasingly concentrated dairy market. Indeed, small-sized manufacturers also have a chance in the competition. They just need to find and exploit those core competences which could be transformed into their sustainable competitive advantage.</w:t>
      </w:r>
    </w:p>
    <w:p>
      <w:pPr>
        <w:widowControl w:val="on"/>
        <w:pBdr/>
        <w:spacing w:before="240" w:after="240" w:line="240" w:lineRule="auto"/>
        <w:ind w:left="0" w:right="0"/>
        <w:jc w:val="left"/>
      </w:pPr>
      <w:r>
        <w:rPr>
          <w:color w:val="000000"/>
          <w:sz w:val="24"/>
          <w:szCs w:val="24"/>
        </w:rPr>
        <w:t xml:space="preserve">As a first step of my analysis I identified the Hungarian dairy sector’s main characteristics and challenges then I examined the selected manufacturers’ competitive environment and resources using various techniques. The results of the study indicated that these enterprises truly have perspective in the future which means that the Hungarian dairy sector’s special diversity could be preserved.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87679">
    <w:multiLevelType w:val="hybridMultilevel"/>
    <w:lvl w:ilvl="0" w:tplc="28865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87679">
    <w:abstractNumId w:val="38287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96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