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PLANK</w:t>
            </w:r>
          </w:p>
          <w:p w:rsidR="00C275A3" w:rsidRDefault="00A96AEC" w:rsidP="00C275A3">
            <w:pPr>
              <w:pStyle w:val="Hallgatokepzes"/>
            </w:pPr>
            <w:r>
              <w:t>MSc in Actuarial and Financial Mathematics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Medvegyev</w:t>
            </w:r>
          </w:p>
          <w:p w:rsidR="00DB4822" w:rsidRDefault="00DB4822" w:rsidP="00E11062">
            <w:pPr>
              <w:pStyle w:val="Konzulensek"/>
            </w:pPr>
            <w:r w:rsidRPr="00DB4822">
              <w:t>Associate Professor, Department of Mathematics,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Afﬁne Point Processes and Credit Derivatives Modeling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present a potential answer to the fundamental question about credit derivatives (namely CDOs in our case) based on a more justifiable modelling philosophy and without the limitations of the industry-wide standard Gaussian copula model: how to price them and how to hedge our exposure. Eventually the pricing problem reduces to determining the distribution of the default times and magnitudes. In the current paper we model these jointly using the point processes which can be viewed as generalized Poisson processes leading to a less-known part of the theory of stochastic processes. Just like in the case of operational risk, to determine the non-trivial distributions we need to invoke the Laplace- and Fourier-transforms. It might be surprising that by following this path we will be able to utilize the extensive literature on interest rates. After determining the distribution of losses impacting the whole portfolio we can consider a potential hedging strategy. This however requires understanding the process behind the default events of products constituting the portfolio, i.e. to model these single-jump point processes. By following the route mentioned above it will become clearer that to answer these basic questions we need to understand several distinct fields of mathematics, complicated on their own. As a result we will see a potential explanation why these models didn’t become the new standards despite their more appropriate nature.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68462">
    <w:multiLevelType w:val="hybridMultilevel"/>
    <w:lvl w:ilvl="0" w:tplc="37819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68462">
    <w:abstractNumId w:val="497684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65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