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DÉNES</w:t>
            </w:r>
          </w:p>
          <w:p w:rsidR="00C275A3" w:rsidRDefault="00A96AEC" w:rsidP="00C275A3">
            <w:pPr>
              <w:pStyle w:val="Hallgatokepzes"/>
            </w:pPr>
            <w:r>
              <w:t>Tőkepiac és vállalat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Király Júlia</w:t>
            </w:r>
          </w:p>
          <w:p w:rsidR="00DB4822" w:rsidRDefault="00DB4822" w:rsidP="00E11062">
            <w:pPr>
              <w:pStyle w:val="Konzulensek"/>
            </w:pPr>
            <w:r w:rsidRPr="00DB4822">
              <w:t>alelnök (MNB),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mozgatja a magyarországi CDS-felárak alakulását? - A CDS-felárak komponens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a külföldi befektetők Magyarország hitelkockázatára vonatkozó megítélése mögött milyen mozgatórugók rejlenek. Ezen tényezők azonosításához a CDS-felárakat, (mint az ország hitelkockázatának legpontosabb mutatóját) 3 komponensre bontottam (globális, régiós, országspecifikus). A komponensek idősorában megjelenő fordulópontokból kiindulva azonosítottam a központi kérdés megválaszolása szempontjából releváns tényezőket, eseményeket. A fordulópontokra vonatkozóan szinte kivétel nélkül tudtam valamilyen eseményt csatolni, mely nagy valószínűséggel a CDS-felár változása mögött állt. Az eredmények alapján azt jelenthetjük ki, hogy a 2008. január – 2010. június közötti időszakban az országspecifikus változások, csupán a globális sokkokra való érzékenyebb reagálásból fakadnak. Míg 2010 júniusa után egy nagyobb mértékű országspecifikus tényező alakult ki a kormány kommunikációjának, illetve lépéseinek hatására, melynek nagyságát a kormány jövőbeli strukturális programjával kapcsolatos befektetői várakozások alakították a későbbiekben.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39478">
    <w:multiLevelType w:val="hybridMultilevel"/>
    <w:lvl w:ilvl="0" w:tplc="10514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39478">
    <w:abstractNumId w:val="63239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814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