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NAGY</w:t>
            </w:r>
          </w:p>
          <w:p w:rsidR="00C275A3" w:rsidRDefault="00A96AEC" w:rsidP="00C275A3">
            <w:pPr>
              <w:pStyle w:val="Hallgatokepzes"/>
            </w:pPr>
            <w:r>
              <w:t>Capital Markets and Corporate Finance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Júlia Király</w:t>
            </w:r>
          </w:p>
          <w:p w:rsidR="00DB4822" w:rsidRDefault="00DB4822" w:rsidP="00E11062">
            <w:pPr>
              <w:pStyle w:val="Konzulensek"/>
            </w:pPr>
            <w:r w:rsidRPr="00DB4822">
              <w:t>vice president,  National Bank of Hungary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Which factors affecting the CDS spread movement in Hungary? - CDS spread component analysis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analyse the driving forces lying behind foreign investors’ credit risk assessment in Hungary. For the identification of these factors, I decomposed the CDS spread, (as the country's most accurate indicator of credit risk) into three components (global, regional, country-specific). I identified the relevant factors and events based on the turning points of the time series of these components. I was able to attach the turning points to specific events that are likely to affect the changes in CDS spreads. The results show that the country-specific changes between January 2008 and June 2010 were caused by the sensitive reactions to global shocks. After June 2010 a significant country-specific factor developed because of the government communication and actions which were shaped by the investor expectations for the structural reforms.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02006">
    <w:multiLevelType w:val="hybridMultilevel"/>
    <w:lvl w:ilvl="0" w:tplc="46501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02006">
    <w:abstractNumId w:val="16002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611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