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FICZE</w:t>
            </w:r>
          </w:p>
          <w:p w:rsidR="00C275A3" w:rsidRDefault="00A96AEC" w:rsidP="00C275A3">
            <w:pPr>
              <w:pStyle w:val="Hallgatokepzes"/>
            </w:pPr>
            <w:r>
              <w:t>Finance and accounting</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ORSOLYA FOLDESI</w:t>
            </w:r>
          </w:p>
          <w:p w:rsidR="00DB4822" w:rsidRDefault="00C275A3" w:rsidP="004D7940">
            <w:pPr>
              <w:pStyle w:val="Hallgatokepzes"/>
            </w:pPr>
            <w:r>
              <w:t>Finance and accounting</w:t>
            </w:r>
            <w:r w:rsidR="00A96AEC">
              <w:br/>
              <w:t>BSc,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 Csutora Dr.</w:t>
            </w:r>
          </w:p>
          <w:p w:rsidR="00DB4822" w:rsidRDefault="00DB4822" w:rsidP="00E11062">
            <w:pPr>
              <w:pStyle w:val="Konzulensek"/>
            </w:pPr>
            <w:r w:rsidRPr="00DB4822">
              <w:t>associate professor, BCE GTK Corvinus University of Budapest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Energy Saving Companies on Green Investment Markets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paper endeavours to analyse the activity of energy saving companies (ESCOs). Further to investigating whether the environmental or sustainability factors are considered and if the activity of ESCOs is profitable in the long run, we ask the question whether return on investment can be measured by the reduction in ecological footprint or merely in financial terms. We discuss whether this form of business enterprise has a future and if it really involves environmental consciousness; how long the payback period of such an investment is and who benefits from it. We furthermore analyse whether what works in the West can work in Hungary, too. During the presentation of the sector, we also pay attention to risk factors. We particularly focus on the situation in Hungary and Central Europe, where we observe the range of procurers: in Hungary, for example, mostly municipalities contract ESCOs, that is why we give a brief overview of the risk of non-payment. In our sector analysis, the emphasis is on market structure, in order to show the characteristics of this sector. As far as our methodology is concerned, our research is based on personal visits, interviews with the ones involved, statistics and calculations of return indicators. Our observations are supported by the detailed analyses of a number of investments, taking into consideration the activities that take place in the Central Eastern European Region (e.g. Poland, Romania), where the circumstances are similar.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72788">
    <w:multiLevelType w:val="hybridMultilevel"/>
    <w:lvl w:ilvl="0" w:tplc="89958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72788">
    <w:abstractNumId w:val="829727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3353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