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BAKONYI</w:t>
            </w:r>
          </w:p>
          <w:p w:rsidR="00C275A3" w:rsidRDefault="00A96AEC" w:rsidP="00C275A3">
            <w:pPr>
              <w:pStyle w:val="Hallgatokepzes"/>
            </w:pPr>
            <w:r>
              <w:t>leadership and management</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Buzder Lantos</w:t>
            </w:r>
          </w:p>
          <w:p w:rsidR="00DB4822" w:rsidRDefault="00DB4822" w:rsidP="00E11062">
            <w:pPr>
              <w:pStyle w:val="Konzulensek"/>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can CSR be integrated to the business models? - A new approach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CSR is important. Every company should find the most effective (the maximal social utility) and sustainable (maximal duration) ways of its CSR activities.</w:t>
      </w:r>
      <w:r>
        <w:rPr>
          <w:color w:val="000000"/>
          <w:sz w:val="24"/>
          <w:szCs w:val="24"/>
        </w:rPr>
        <w:br/>
        <w:t xml:space="preserve">In this paper three crucial factors are identified which help firms to have effective and sustainable CSR activities as follows: frequency (ad hoc or continuous); scope (specified or broad); and connection to the core activities (not related or related). The more frequent, the broader, and the stronger related CSR activities are the more effective and sustainable.</w:t>
      </w:r>
      <w:r>
        <w:rPr>
          <w:color w:val="000000"/>
          <w:sz w:val="24"/>
          <w:szCs w:val="24"/>
        </w:rPr>
        <w:br/>
        <w:t xml:space="preserve">In the view of the paper the only way to sustain CSR activities in the long run if it is embedded to the everyday business. Three types of CSR activites (donation, resource-based, and activity-based CSR) are analyzed in the view of Osterwalder business model framework. The research question is which type of CSR is the easiest to embed to the business model. At the end of the analysis activity-based CSR becomes the most sustainable type.</w:t>
      </w:r>
      <w:r>
        <w:rPr>
          <w:color w:val="000000"/>
          <w:sz w:val="24"/>
          <w:szCs w:val="24"/>
        </w:rPr>
        <w:br/>
        <w:t xml:space="preserve">Finally three Hungarian pharmaceutical companies are examined by the previous research framework.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59587">
    <w:multiLevelType w:val="hybridMultilevel"/>
    <w:lvl w:ilvl="0" w:tplc="31941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59587">
    <w:abstractNumId w:val="74759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031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