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BARNA</w:t>
            </w:r>
          </w:p>
          <w:p w:rsidR="00C275A3" w:rsidRDefault="00A96AEC" w:rsidP="00C275A3">
            <w:pPr>
              <w:pStyle w:val="Hallgatokepzes"/>
            </w:pPr>
            <w:r>
              <w:t>Logistics management</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SZABINA GÖRBE</w:t>
            </w:r>
          </w:p>
          <w:p w:rsidR="00DB4822" w:rsidRDefault="00C275A3" w:rsidP="004D7940">
            <w:pPr>
              <w:pStyle w:val="Hallgatokepzes"/>
            </w:pPr>
            <w:r>
              <w:t>Regional and environmental economics</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Zsóka</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Green, yellow and blue - The practical experiences of selective waste collection of Kecskemet in the view of the citizens and the service provider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importance of sustainability is more and more important in the recent economic and competitiveness issues. Our research deals with a small segment of sustainability, namely the selective waste collection, demonstrated with the case of Kecskemét in the view of the service provider and the society too. The starting-point was, that we have not understood, why was it worthy for the provider to terminate collection points around the city, while the tendency of sustainability requires even the opposite way.</w:t>
      </w:r>
      <w:r>
        <w:rPr>
          <w:color w:val="000000"/>
          <w:sz w:val="24"/>
          <w:szCs w:val="24"/>
        </w:rPr>
        <w:br/>
        <w:t xml:space="preserve">The main statement of our study is matching the system which was created by the provider with the experiences and expectations of the society. Due to this confrontation we were able to draw up numerous recommendations, which may be useful for creating a more effective selective waste collection system.</w:t>
      </w:r>
      <w:r>
        <w:rPr>
          <w:color w:val="000000"/>
          <w:sz w:val="24"/>
          <w:szCs w:val="24"/>
        </w:rPr>
        <w:br/>
        <w:t xml:space="preserve">The other setting of the research means the comparison of the system in Kecskemét, in other towns and in Budapest. With the help of this non-representative customer research we examined the satisfaction of the people in other cities and tried to find conclusions.</w:t>
      </w:r>
      <w:r>
        <w:rPr>
          <w:color w:val="000000"/>
          <w:sz w:val="24"/>
          <w:szCs w:val="24"/>
        </w:rPr>
        <w:br/>
        <w:t xml:space="preserve">As the result of the study we can settle that the system in Kecskemét is less developed because the lack of monetary resources and infrastructure. Moreover the citizens are not co-operative, because they are disappointed due to the defective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52582">
    <w:multiLevelType w:val="hybridMultilevel"/>
    <w:lvl w:ilvl="0" w:tplc="47324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52582">
    <w:abstractNumId w:val="87452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768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