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BAJI ANDREA</w:t>
            </w:r>
          </w:p>
          <w:p w:rsidR="00C275A3" w:rsidRDefault="00A96AEC" w:rsidP="00C275A3">
            <w:pPr>
              <w:pStyle w:val="Hallgatokepzes"/>
            </w:pPr>
            <w:r>
              <w:t>Nemzetközi gazdálkodás angol nyelven</w:t>
            </w:r>
            <w:r>
              <w:br/>
            </w:r>
            <w:r w:rsidR="00E77B23">
              <w:t>BSc, 4.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BRANYICZKI RÉKA</w:t>
            </w:r>
          </w:p>
          <w:p w:rsidR="00DB4822" w:rsidRDefault="00C275A3" w:rsidP="004D7940">
            <w:pPr>
              <w:pStyle w:val="Hallgatokepzes"/>
            </w:pPr>
            <w:r>
              <w:t>Nemzetközi gazdálkodás angol nyelven</w:t>
            </w:r>
            <w:r w:rsidR="00A96AEC">
              <w:br/>
              <w:t>BSc, 4.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Veigl Helga</w:t>
            </w:r>
          </w:p>
          <w:p w:rsidR="00DB4822" w:rsidRDefault="00DB4822" w:rsidP="00E11062">
            <w:pPr>
              <w:pStyle w:val="Konzulensek"/>
            </w:pPr>
            <w:r w:rsidRPr="00DB4822">
              <w:t>PhD hallgató (BCE - Jövőkutatás Tanszék),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Energikus Európa - Mediterrán Gyűrű vs. Kék Gazdaság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Európai Uniónak egyre több kihívással kell szembenéznie, többek között a változó energia kereslettel és az energiafüggőséggel, valamint az egyre növekvő energia árakkal és a klímaváltozással is.</w:t>
      </w:r>
      <w:r>
        <w:rPr>
          <w:color w:val="000000"/>
          <w:sz w:val="24"/>
          <w:szCs w:val="24"/>
        </w:rPr>
        <w:br/>
        <w:t xml:space="preserve">Dolgozatunkban arra keressük a választ, hogy a lokális vagy a globális energiaellátás kedvezőbb-e az Európai Uniónak. Kutatásunk tehát egy globális és egy lokális megoldás összehasonlításán alapul, a Mediterrán Gyűrűt (globális, felülről szerveződő lehetőség) és a Kék Gazdaságot (alulról szerveződő lokális lehetőség) vetjük össze. Elemzésünk módszerét jövőkerekek és szcenáriótervezés alkotják, amelyekben az általunk meghatározott időkeret 2050. Kérdésünk, hogy mely opció szolgálja jobban az Európai Unió által kitűzött három fő energia célt: versenyképesség, energia ellátás biztonsága és fenntarthatóság.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29584">
    <w:multiLevelType w:val="hybridMultilevel"/>
    <w:lvl w:ilvl="0" w:tplc="56459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29584">
    <w:abstractNumId w:val="46729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246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