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BAJI</w:t>
            </w:r>
          </w:p>
          <w:p w:rsidR="00C275A3" w:rsidRDefault="00A96AEC" w:rsidP="00C275A3">
            <w:pPr>
              <w:pStyle w:val="Hallgatokepzes"/>
            </w:pPr>
            <w:r>
              <w:t>International Business in English</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REKA BRANYICZKI</w:t>
            </w:r>
          </w:p>
          <w:p w:rsidR="00DB4822" w:rsidRDefault="00C275A3" w:rsidP="004D7940">
            <w:pPr>
              <w:pStyle w:val="Hallgatokepzes"/>
            </w:pPr>
            <w:r>
              <w:t>International Business in English</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Helga Veigl</w:t>
            </w:r>
          </w:p>
          <w:p w:rsidR="00DB4822" w:rsidRDefault="00DB4822" w:rsidP="00E11062">
            <w:pPr>
              <w:pStyle w:val="Konzulensek"/>
            </w:pPr>
            <w:r w:rsidRPr="00DB4822">
              <w:t>PhD student (CUB - Department of Future Studies),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Energetic Europe- Mediterranian Ring vs. Blue Economy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the European Union it is high time to face the recent trends such as changing energy demand and energy dependence, increasing prices and threat of dramatic climate change.</w:t>
      </w:r>
      <w:r>
        <w:rPr>
          <w:color w:val="000000"/>
          <w:sz w:val="24"/>
          <w:szCs w:val="24"/>
        </w:rPr>
        <w:br/>
        <w:t xml:space="preserve">Our essay is searching for an answer to the question whether a global or a local energy supply is more favorable for the European Union. The search is based on the comparison of global and local energy supply solutions, through the examples of the Mediterranean Ring as a global top-down and of the Blue Economy as a source of local bottom-up opportunity. We are analyzing the options by the use of futures wheels and scenario building – setting the time frame up to 2050 – in order to discover which matches more the EU’s three main energy goals: competitiveness, security of energy supply and sustainability. We are drawing conclusions that depend on the different key drivers that will dominate in the future.</w:t>
      </w:r>
      <w:r>
        <w:rPr>
          <w:color w:val="000000"/>
          <w:sz w:val="24"/>
          <w:szCs w:val="24"/>
        </w:rPr>
        <w:br/>
        <w:t xml:space="preserve">In the essay we are taking a look at the relevance of the topic of energy supply in the European Union first, then we introduce the concept of the Mediterranean Ring and that of the Blue Economy. After that, we analyze both ideas through futures wheels – first separately and then together adding historical forces to the analysis. Partly by the results of the futures wheels we identify the critical uncertainties, which serve as starting points to our scenarios built. By the end of the scenario building we come to a conclusion on the question in focus: a global or a local solution is more favorable to achieve the three main energy goals of competitiveness, security of energy supply and sustainability.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77479">
    <w:multiLevelType w:val="hybridMultilevel"/>
    <w:lvl w:ilvl="0" w:tplc="10039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77479">
    <w:abstractNumId w:val="27177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647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