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JAKAB ÁRPÁD GERGŐ</w:t>
            </w:r>
          </w:p>
          <w:p w:rsidR="00C275A3" w:rsidRDefault="00A96AEC" w:rsidP="00C275A3">
            <w:pPr>
              <w:pStyle w:val="Hallgatokepzes"/>
            </w:pPr>
            <w:r>
              <w:t>Marketing</w:t>
            </w:r>
            <w:r>
              <w:br/>
            </w:r>
            <w:r w:rsidR="00E77B23">
              <w:t>MSc, 3. félév</w:t>
            </w:r>
          </w:p>
          <w:p w:rsidR="00C265CE" w:rsidRPr="009E5FF1" w:rsidRDefault="00E77B23" w:rsidP="00C275A3">
            <w:pPr>
              <w:pStyle w:val="Hallgatokepzes"/>
              <w:rPr>
                <w:b/>
                <w:caps/>
              </w:rPr>
            </w:pPr>
            <w:r>
              <w:t>Budapesti Corvinus Egyetem</w:t>
            </w:r>
            <w:r w:rsidR="00C275A3">
              <w:br/>
            </w:r>
            <w:r w:rsidR="00DB4822">
              <w:t>Gazdálkodástudományi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Nyírő Nóra</w:t>
            </w:r>
          </w:p>
          <w:p w:rsidR="00DB4822" w:rsidRDefault="00DB4822" w:rsidP="00E11062">
            <w:pPr>
              <w:pStyle w:val="Konzulensek"/>
            </w:pPr>
            <w:r w:rsidRPr="00DB4822">
              <w:t>tudományos segédmunkatárs (BCE - Marketing és Média Intézet),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Megéri megsérteni a közönséget? - Célok és eszközök az offenzív reklámok világában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Az offenzív reklámokra vonatkozó tanulmányok nemzetközi szakirodalma rendkívül kiterjedt már. Ezek különböző szempontok alapján kategorizálják ezen rendkívül különleges reklámtípust. Olyan kutatás, mely ezek normasértő jellegét ragadja meg, egyelőre azonban korlátozottan elérhető magyar nyelven, miközben (főleg a társadalmi célú üzenetek esetében) ez már viszonylag széles körben alkalmazott eszköz. Tehát a dolgozat célja az, hogy a normasértő hirdetéseket olyan szempontból vizsgálja meg, mely alapján a gyakorlati szakemberek mélyebb ismeretekre tehetnek szert, és ezáltal nagyobb mértékben használják a reklámeszközt.</w:t>
      </w:r>
    </w:p>
    <w:p>
      <w:pPr>
        <w:pBdr/>
        <w:spacing w:before="240" w:after="240" w:line="240" w:lineRule="auto"/>
        <w:ind w:left="0" w:right="0"/>
        <w:jc w:val="left"/>
      </w:pPr>
      <w:r>
        <w:rPr>
          <w:color w:val="000000"/>
          <w:sz w:val="24"/>
          <w:szCs w:val="24"/>
        </w:rPr>
        <w:t xml:space="preserve">A dolgozat egy meghatározott gondolati fonalat követve kíván eljutni az általános elméleti áttekintéstől a konkrét gyakorlati használhatóságra vonatkozó kutatási értelmezésig. A fogalmi konceptualizálást követően kitérek az offenzivitás eszközeire és céljaira, hogy egy jól struktúrált rendszert alakítsak ki a gyakorlatiasság jegyében, valamint érintem a használható közvetítő csatornákat és a fellépő veszélyeket is a teljes kép felvázolásáért. A dolgozat második felében az általam lefolytatott kutatás eredményeit értelmezem, és azok alapján utalok vissza az elméleti részben tett megállapításokra. Kutatásom alapja két kérdőíves lekérdezés, melynek eredményei betekintést nyújtanak az offenzív reklámok fogyasztói megítélésébe. Ezek alapján vizsgálom először a normasértő hirdetések létjogosultságát, majd a használhatóságuknak olyan aspektusait, mely alapján hatékonyan alkalmazhatók (mint a fogyasztók megítélése a tetszésre, kreativitásra, tervezett továbbküldésre és még számos egyéb változóra). </w:t>
      </w:r>
    </w:p>
    <w:p>
      <w:pPr>
        <w:pBdr/>
        <w:spacing w:before="240" w:after="240" w:line="240" w:lineRule="auto"/>
        <w:ind w:left="0" w:right="0"/>
        <w:jc w:val="left"/>
      </w:pPr>
      <w:r>
        <w:rPr>
          <w:color w:val="000000"/>
          <w:sz w:val="24"/>
          <w:szCs w:val="24"/>
        </w:rPr>
        <w:t xml:space="preserve">A kutatás eredményeit tekintve elmondható, hogy az offenzivitás használhatóságát alátámasztották. Az első kutatási kérdést, vagyis a normasértés használatának relevanciáját vizsgálva fény derült a kreativitás, a tetszés, az elgondolkodtatás és az eredményezett attitűdbefolyásolás kapcsolatára. A második kutatási kérdéssel kapcsolatban elmondható, hogy az offenzív reklámokkal kapcsolatos, korábbi elméletek alapján tett megállapítások és irányelvek is nagyrészt beigazolódtak. A konkrét esetek eredményeinek vizsgálata betekintést adott a normasértő reklámozás gyakorlati megvalósításába, és alkalmazható ismereteket adott. A fogyasztói válaszok alapján levont következtetések a tetszés, a sértés és a viselkedés dimenzióit vizsgálták, így a reklámok hatásmechanizmusának mind az affektív, mind a konatív irányát lefedték.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267136">
    <w:multiLevelType w:val="hybridMultilevel"/>
    <w:lvl w:ilvl="0" w:tplc="203705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267136">
    <w:abstractNumId w:val="532671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35138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