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PÉTER NAGY</w:t>
            </w:r>
          </w:p>
          <w:p w:rsidR="00C275A3" w:rsidRDefault="00A96AEC" w:rsidP="00C275A3">
            <w:pPr>
              <w:pStyle w:val="Hallgatokepzes"/>
            </w:pPr>
            <w:r>
              <w:t>Marketing</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Ágnes Neulinger PhD</w:t>
            </w:r>
          </w:p>
          <w:p w:rsidR="00DB4822" w:rsidRDefault="00DB4822" w:rsidP="00E11062">
            <w:pPr>
              <w:pStyle w:val="Konzulensek"/>
            </w:pPr>
            <w:r w:rsidRPr="00DB4822">
              <w:t>assistant professor,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the sport commitment model in leisure tennis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study I examine the consumer commitment related to leisure tennis with the sport commitment model.</w:t>
      </w:r>
    </w:p>
    <w:p>
      <w:pPr>
        <w:widowControl w:val="on"/>
        <w:pBdr/>
        <w:spacing w:before="240" w:after="240" w:line="240" w:lineRule="auto"/>
        <w:ind w:left="0" w:right="0"/>
        <w:jc w:val="left"/>
      </w:pPr>
      <w:r>
        <w:rPr>
          <w:color w:val="000000"/>
          <w:sz w:val="24"/>
          <w:szCs w:val="24"/>
        </w:rPr>
        <w:t xml:space="preserve">The paper consists of four main chapters. In chapter one, I demonstrate the strategic importance of consumer retention, which is a highly essential concept –among other industries- in the tennis industry. Supporting this fact, the tennis industry of the United States is examined, being a reference point for evaluating the Hungarian situation.</w:t>
      </w:r>
    </w:p>
    <w:p>
      <w:pPr>
        <w:widowControl w:val="on"/>
        <w:pBdr/>
        <w:spacing w:before="240" w:after="240" w:line="240" w:lineRule="auto"/>
        <w:ind w:left="0" w:right="0"/>
        <w:jc w:val="left"/>
      </w:pPr>
      <w:r>
        <w:rPr>
          <w:color w:val="000000"/>
          <w:sz w:val="24"/>
          <w:szCs w:val="24"/>
        </w:rPr>
        <w:t xml:space="preserve">In chapter two, the consumer loyalty and its components are described. The attitudinal and bahavioural components of loyalty are described separately, with a special interest on commitment. The relation between consumer satisfaction and loyalty is examined, and the chapter ends with the description of leisure involvement.</w:t>
      </w:r>
    </w:p>
    <w:p>
      <w:pPr>
        <w:widowControl w:val="on"/>
        <w:pBdr/>
        <w:spacing w:before="240" w:after="240" w:line="240" w:lineRule="auto"/>
        <w:ind w:left="0" w:right="0"/>
        <w:jc w:val="left"/>
      </w:pPr>
      <w:r>
        <w:rPr>
          <w:color w:val="000000"/>
          <w:sz w:val="24"/>
          <w:szCs w:val="24"/>
        </w:rPr>
        <w:t xml:space="preserve">Chapter three consists of the detailed examination of the Sport Commitment Model. This includes not only the models components but also the possible development directions for the model as well as the discussion of the main results of previous papers focusing on the Sport Commitment Model and tennis. The chapter ends with the introduction of the model used in the study.</w:t>
      </w:r>
    </w:p>
    <w:p>
      <w:pPr>
        <w:widowControl w:val="on"/>
        <w:pBdr/>
        <w:spacing w:before="240" w:after="240" w:line="240" w:lineRule="auto"/>
        <w:ind w:left="0" w:right="0"/>
        <w:jc w:val="left"/>
      </w:pPr>
      <w:r>
        <w:rPr>
          <w:color w:val="000000"/>
          <w:sz w:val="24"/>
          <w:szCs w:val="24"/>
        </w:rPr>
        <w:t xml:space="preserve">The discussion of the empirical study takes place in chapter four. It includes the main features of the empirical study: the operational issues, the main characteristics of the respondents, the posed hypotheses as well as their examination, the segmentation of respondents and the description of the segments.</w:t>
      </w:r>
    </w:p>
    <w:p>
      <w:pPr>
        <w:widowControl w:val="on"/>
        <w:pBdr/>
        <w:spacing w:before="240" w:after="240" w:line="240" w:lineRule="auto"/>
        <w:ind w:left="0" w:right="0"/>
        <w:jc w:val="left"/>
      </w:pPr>
      <w:r>
        <w:rPr>
          <w:color w:val="000000"/>
          <w:sz w:val="24"/>
          <w:szCs w:val="24"/>
        </w:rPr>
        <w:t xml:space="preserve">The study ends with drawing the main conclusions and setting the possible further research directions relating this topic.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870653">
    <w:multiLevelType w:val="hybridMultilevel"/>
    <w:lvl w:ilvl="0" w:tplc="9488637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870653">
    <w:abstractNumId w:val="4887065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338542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