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EMMA JULIA NAGYMIHÁLY</w:t>
            </w:r>
          </w:p>
          <w:p w:rsidR="00C275A3" w:rsidRDefault="00A96AEC" w:rsidP="00C275A3">
            <w:pPr>
              <w:pStyle w:val="Hallgatokepzes"/>
            </w:pPr>
            <w:r>
              <w:t>Accounting MSc</w:t>
            </w:r>
            <w:r>
              <w:br/>
            </w:r>
            <w:r w:rsidR="00E77B23">
              <w:t>MSc, 2.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ORSOLYA SZABO</w:t>
            </w:r>
          </w:p>
          <w:p w:rsidR="00DB4822" w:rsidRDefault="00C275A3" w:rsidP="004D7940">
            <w:pPr>
              <w:pStyle w:val="Hallgatokepzes"/>
            </w:pPr>
            <w:r>
              <w:t>Accounting MSc</w:t>
            </w:r>
            <w:r w:rsidR="00A96AEC">
              <w:br/>
              <w:t>MSc, 3.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Faculty of Business Administration</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János Bosnyák</w:t>
            </w:r>
          </w:p>
          <w:p w:rsidR="00DB4822" w:rsidRDefault="00DB4822" w:rsidP="00E11062">
            <w:pPr>
              <w:pStyle w:val="Konzulensek"/>
            </w:pPr>
            <w:r w:rsidRPr="00DB4822">
              <w:t>associate professor (BCE - Managerial Accounting Department),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Hide &amp; Seek with the Revenues - Theoretical approaches in the world of Revenue Recognition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our paper we focused on the theoretical approach of revenue identification, measurement and recognition. First we dealt with measurement problems of revenue and identified the revenue as a phenomenon, then went through the differences of IFRS and US GAAP definitions of income, revenue, gain, expense and loss. Afterwards we showed approaches of revenue recognition, followed by critical function theory and long-term contracts. On behalf of better understanding the published new “Revenue from contracts with customers” draft we presented theories and methods of national General Accepted Accounting Principles and the present status of IFRS convergence. We put emphasis on the introduction of the Draft not only due to its up-to-dateness but its diversity from current revenue recognition models. The main objective of the new revenue recognition model is to remove inconsistencies and weaknesses in existing revenue recognition standards by providing clear principles for revenue recognition in a robust framework. In order to build a more sophisticated model contracts were chosen for platform of revenue recognition. According to the new principle an entity would recognize revenue when it satisfies a performance obligation by transferring a promised good or service to a customer (a good or service is transferred when the customer obtains control of that good or service). The new standard is dedicated to overrule the two main revenue recognition standards, IAS 18 Revenue and IAS 11 Construction Contracts, and other standards and recommendations. It also prescribes retroactive application, which may encumber the originators of financial statements. How significant would be the effect on the companies and on the economy? For this question it is hard to find the proper answer in advance. At any rate the draft is strongly criticized due to its several unclear fields, for instance services, construction contracts or PSC contracts. In our opinion the intension to rebuild a new and better model is honorable, but it needs to be rethought and the ultimate question should be answered first, whether the economy is mature enough to cope with the application of the new model.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912278">
    <w:multiLevelType w:val="hybridMultilevel"/>
    <w:lvl w:ilvl="0" w:tplc="829704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912278">
    <w:abstractNumId w:val="179122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22378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