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ALEXANDER BORGSTRÖM</w:t>
            </w:r>
          </w:p>
          <w:p w:rsidR="00C275A3" w:rsidRDefault="00A96AEC" w:rsidP="00C275A3">
            <w:pPr>
              <w:pStyle w:val="Hallgatokepzes"/>
            </w:pPr>
            <w:r>
              <w:t>Accounting</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Székács Péterné</w:t>
            </w:r>
          </w:p>
          <w:p w:rsidR="00DB4822" w:rsidRDefault="00DB4822" w:rsidP="00E11062">
            <w:pPr>
              <w:pStyle w:val="Konzulensek"/>
            </w:pPr>
            <w:r w:rsidRPr="00DB4822">
              <w:t>  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Accounting frauds and their effects in the USA during the time of market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decade several accounting frauds were witnessed in the United States of America (USA), all of which had severe impacts on the world economy due to close relations between the different domestic economies. For the purpose of conducting the fraud, often certain accounting techniques were used by the culprits, nevertheless one must not neglect the economic and regulatory environments which often provided the necessary circumstances for these criminal acts. In 2008 when the subprime mortgage crisis was at its peak, companies that wished to balance the negative effects of the financial markets on their corporate books started using accounting methods and techniques that were either strictly forbidden or just had the appearance of fulfilling the regulatory requirements. Companies used such solutions in order to hide their rapidly declining financial performance, but similar actions were taken during the Great Depression or the so-called „dotcom” crisis as well. The emergence of accounting frauds in times of economic crisis often lead to serious damages caused not only to investors but domestic societies as well and sometimes even lead to political crisis in some countries due to the negative market effects that span across national borders. One can also notice that in the past the more notable economic crisis and related accounting frauds had either directly or indirectly influenced the accounting and financial regulations.</w:t>
      </w:r>
    </w:p>
    <w:p>
      <w:pPr>
        <w:widowControl w:val="on"/>
        <w:pBdr/>
        <w:spacing w:before="240" w:after="240" w:line="240" w:lineRule="auto"/>
        <w:ind w:left="0" w:right="0"/>
        <w:jc w:val="left"/>
      </w:pPr>
      <w:r>
        <w:rPr>
          <w:color w:val="000000"/>
          <w:sz w:val="24"/>
          <w:szCs w:val="24"/>
        </w:rPr>
        <w:t xml:space="preserve">In my academic paper I investigate the interrelations between economic crisis, accounting frauds and financial regulations within the period of 1920-2010. For this purpose I have analyzed three individual corporate cases from the USA in chronological order, which I believe support my assumptions on the aforementioned link between crisis, fraud and regulation. Initially, I introduce and explain the basic definitions that are relevant for my research. Following this part, the three individual case studies are presented (Kreuger&amp;Toll; Worldcom; Lehman Brothers), during which I explain in detail for each and every case: the accounting techniques that were used, the underlying motivations for the frauds, connections with the respective economic crisis and last but not least the post regulation-changes. In the final chapter I summarize my main thoughts on the topic, present the conclusions based on my research and briefly mention some of the challenges that awaits the accounting profession in the future regarding accounting frauds.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12966">
    <w:multiLevelType w:val="hybridMultilevel"/>
    <w:lvl w:ilvl="0" w:tplc="32947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12966">
    <w:abstractNumId w:val="40412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198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