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HÜRKECZ ATTILA</w:t>
            </w:r>
          </w:p>
          <w:p w:rsidR="00C275A3" w:rsidRDefault="00A96AEC" w:rsidP="00C275A3">
            <w:pPr>
              <w:pStyle w:val="Hallgatokepzes"/>
            </w:pPr>
            <w:r>
              <w:t>Közgazdász-Gazdálkodási</w:t>
            </w:r>
            <w:r>
              <w:br/>
            </w:r>
            <w:r w:rsidR="00E77B23">
              <w:t>Osztatlan, 12. félév</w:t>
            </w:r>
          </w:p>
          <w:p w:rsidR="00C265CE" w:rsidRPr="009E5FF1" w:rsidRDefault="00E77B23" w:rsidP="00C275A3">
            <w:pPr>
              <w:pStyle w:val="Hallgatokepzes"/>
              <w:rPr>
                <w:b/>
                <w:caps/>
              </w:rPr>
            </w:pPr>
            <w:r>
              <w:t>Budapesti Corvinus Egyetem</w:t>
            </w:r>
            <w:r w:rsidR="00C275A3">
              <w:br/>
            </w:r>
            <w:r w:rsidR="00DB4822">
              <w:t>Gazdálkodástudományi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Chikán Attila</w:t>
            </w:r>
          </w:p>
          <w:p w:rsidR="00DB4822" w:rsidRDefault="00DB4822" w:rsidP="00E11062">
            <w:pPr>
              <w:pStyle w:val="Konzulensek"/>
            </w:pPr>
            <w:r w:rsidRPr="00DB4822">
              <w:t>egyetemi tanár (BCE - Logisztika és Ellátási Lánc Menedzsment Tanszék), BCE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intellektuális tőke menedzsmentje és a versenyelőny kapcsolata az upstream szegmensben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 dolgozatomban a Magyar Olaj-és Gázipari Nyrt.-ben (továbbiakban Mol), s fókuszáltan annak upstream üzletágban a fenntartható versenyelőny, s a tudástőke viszonyát vizsgálom. A módszertant tekintve a témához kapcsolódó általam gyűjtött és feldolgozott szakirodalmat, illetve annak állításait vetem össze a Mol oldaláról szerzett gyakorlati tapasztalatokkal. Célom, hogy a Mol számára egy visszacsatolást nyújtsak a csoporton belül működő átfogó tudásmenedzsment koncepcióról, illetve javaslatokat fogalmazzak meg ennek fejlesztésére.</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Állításom: A vállalati intellektuális tőke az upstream üzletágban hosszú távú versenyelőny forrása, a vállalat célja ezért az értékes mérnöki humán tőke megtartása, fejlesztése.</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Az igazolás:</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(1) Belátom, hogy a mérnöki tudás, mint önálló az egyénhez köthető szuverén erőforrás az upstream szegmensben, mint értékteremtő tényező versenyelőny alapját képezheti egy adott vállalatnál. (2) A következő lépésként rámutatok, hogy a vállalat intézményi, illetve szervezeti struktúrája ezt az értékes egyéni tudást képes kapitalizálni, szervezeti intellektuális tőkévé kovácsolni. (3) Az irodalom feldolgozásán keresztül két szervezeti képességet definiálok, mely előmozdítja az ilyen egyedei, heterogén erőforrás-portfóliók kialakulását a vállalaton belül: a társadalmi és az intézményi tőke. (4) A következőkben a Mol-ban működő tudásmenedzsment koncepciót és annak megnyilvánulásait elemezem és értékelem a két azonosított szervezeti képesség mentén. (5) Utolsó lépésként mind elméleti mind gyakorlati szinten azt vizsgálom, hogy a tudás által generált versenyelőny hogyan lesz hosszú távon fenntartható, illetve az ebből termelt érték hogyan kapitalizálható a vállalat számára. (6) A hosszú távú versenyelőny fenntartásához szükség van új, s lehetőség szerint magas képesítésű alkalmazottakra és ezen alkalmazottak megtartására. A megtermelt járadék eltulajdonolhatósága érdekében pedig, olyan szervezeti megoldásokat kell hoznia, melyben kapitalizálni tudja ezt a tudást. Az elemzésemben rámutatok, hogy e két tényező szemben áll egymással. (7) Megoldás, illetve a probléma feloldása: a megtermelt járadék felosztása az alkalmazottak és a vállalat között egy transzparens teljesítménymérési rendszer támogatásával kell megvalósuljon. Ez a módszer elősegíti a hiteles, integritást hangsúlyozó vállalati kép kialakulását, mely kulcsszerepet játszik az alkalmazottak megtartásában, s elősegíti a toborzást, így biztosítva a hosszú távon fenntartható versenyelőnyt.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6439672">
    <w:multiLevelType w:val="hybridMultilevel"/>
    <w:lvl w:ilvl="0" w:tplc="7527429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6439672">
    <w:abstractNumId w:val="1643967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746440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