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SOMOGYI</w:t>
            </w:r>
          </w:p>
          <w:p w:rsidR="00C275A3" w:rsidRDefault="00A96AEC" w:rsidP="00C275A3">
            <w:pPr>
              <w:pStyle w:val="Hallgatokepzes"/>
            </w:pPr>
            <w:r>
              <w:t>Leadership and organization</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Roland Szabó</w:t>
            </w:r>
          </w:p>
          <w:p w:rsidR="00DB4822" w:rsidRDefault="00DB4822" w:rsidP="00E11062">
            <w:pPr>
              <w:pStyle w:val="Konzulensek"/>
            </w:pPr>
            <w:r w:rsidRPr="00DB4822">
              <w:t>Adjunct professor (CUB - Institute of Management),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Corporate lifecycle models and their application</w:t>
      </w:r>
    </w:p>
    <w:p w:rsidR="00D71DF5" w:rsidRDefault="00D71DF5" w:rsidP="00AD2602">
      <w:pPr>
        <w:jc w:val="both"/>
      </w:pPr>
    </w:p>
    <w:p>
      <w:pPr>
        <w:pBdr/>
        <w:spacing w:before="240" w:after="240" w:line="240" w:lineRule="auto"/>
        <w:ind w:left="0" w:right="0"/>
        <w:jc w:val="left"/>
      </w:pPr>
      <w:r>
        <w:rPr>
          <w:color w:val="000000"/>
          <w:sz w:val="24"/>
          <w:szCs w:val="24"/>
        </w:rPr>
        <w:t xml:space="preserve">György Somogyi (2011): Corporate lifecycle models and their application (Abstract)</w:t>
      </w:r>
    </w:p>
    <w:p>
      <w:pPr>
        <w:pBdr/>
        <w:spacing w:before="240" w:after="240" w:line="240" w:lineRule="auto"/>
        <w:ind w:left="0" w:right="0"/>
        <w:jc w:val="left"/>
      </w:pPr>
      <w:r>
        <w:rPr>
          <w:color w:val="000000"/>
          <w:sz w:val="24"/>
          <w:szCs w:val="24"/>
        </w:rPr>
        <w:t xml:space="preserve">The subject of the research is the growth of the Hungarian subsidiary of a multinational professional services company. The goal of the paper is positioning the company in corporate lifecycle models.</w:t>
      </w:r>
    </w:p>
    <w:p>
      <w:pPr>
        <w:pBdr/>
        <w:spacing w:before="240" w:after="240" w:line="240" w:lineRule="auto"/>
        <w:ind w:left="0" w:right="0"/>
        <w:jc w:val="left"/>
      </w:pPr>
      <w:r>
        <w:rPr>
          <w:color w:val="000000"/>
          <w:sz w:val="24"/>
          <w:szCs w:val="24"/>
        </w:rPr>
        <w:t xml:space="preserve">The arch of the paper starts with the review of the literature on the lifecycle models of corporate growth to be followed by the introduction to the company with special attention devoted to the specialities of the divisional organization and formalization. Finally, the company is positioned in the models introduced in the theoretical frame.</w:t>
      </w:r>
    </w:p>
    <w:p>
      <w:pPr>
        <w:pBdr/>
        <w:spacing w:before="240" w:after="240" w:line="240" w:lineRule="auto"/>
        <w:ind w:left="0" w:right="0"/>
        <w:jc w:val="left"/>
      </w:pPr>
      <w:r>
        <w:rPr>
          <w:color w:val="000000"/>
          <w:sz w:val="24"/>
          <w:szCs w:val="24"/>
        </w:rPr>
        <w:t xml:space="preserve">The paper contains suggestions about how the company operation ign Hungary can manage its dynamic growth, and also allows an insight into how specific interest groups of the coporation view this growth.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99596">
    <w:multiLevelType w:val="hybridMultilevel"/>
    <w:lvl w:ilvl="0" w:tplc="20256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99596">
    <w:abstractNumId w:val="10899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7652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