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MOHÁCSI</w:t>
            </w:r>
          </w:p>
          <w:p w:rsidR="00C275A3" w:rsidRDefault="00A96AEC" w:rsidP="00C275A3">
            <w:pPr>
              <w:pStyle w:val="Hallgatokepzes"/>
            </w:pPr>
            <w:r>
              <w:t>Management and leadership</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NORA JANKA NAGY</w:t>
            </w:r>
          </w:p>
          <w:p w:rsidR="00DB4822" w:rsidRDefault="00C275A3" w:rsidP="004D7940">
            <w:pPr>
              <w:pStyle w:val="Hallgatokepzes"/>
            </w:pPr>
            <w:r>
              <w:t>Management and Leadership</w:t>
            </w:r>
            <w:r w:rsidR="00A96AEC">
              <w:br/>
              <w:t>MSc,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Erika Révész</w:t>
            </w:r>
          </w:p>
          <w:p w:rsidR="00DB4822" w:rsidRDefault="00DB4822" w:rsidP="00E11062">
            <w:pPr>
              <w:pStyle w:val="Konzulensek"/>
            </w:pPr>
            <w:r w:rsidRPr="00DB4822">
              <w:t>professor’s assistant,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Innovation Capacity in the Public Administration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paper approaches the performance of governance from a practical and down-to-earth point of view. This approach can be considered as a major issue, since an effective public administration is one of the key factors of each state’s competitiveness. From the four dimensions of governance performance – economy, efficiency, effectiveness and equity - our study covers the first three.</w:t>
      </w:r>
      <w:r>
        <w:rPr>
          <w:color w:val="000000"/>
          <w:sz w:val="24"/>
          <w:szCs w:val="24"/>
        </w:rPr>
        <w:br/>
        <w:t xml:space="preserve">Making public policy is a core task of every state, reflecting on the social and economic environment and creating a frame for the operation of the public institutions and services, provoking higher level of performance. Hence their role is not to strictly define their internal operations which remain in the scope of authority of each institution.</w:t>
      </w:r>
      <w:r>
        <w:rPr>
          <w:color w:val="000000"/>
          <w:sz w:val="24"/>
          <w:szCs w:val="24"/>
        </w:rPr>
        <w:br/>
        <w:t xml:space="preserve">The public policy-making process can be divided into three steps: governance processes, functional processesand societal processes. These steps are connected, each are influenced by the others. This paper is focusing on the performance of governance.</w:t>
      </w:r>
      <w:r>
        <w:rPr>
          <w:color w:val="000000"/>
          <w:sz w:val="24"/>
          <w:szCs w:val="24"/>
        </w:rPr>
        <w:br/>
        <w:t xml:space="preserve">The economic downturns of the past decades have shown that the original concept of the welfare state is hardly sustainable, which led to the rise of new approaches. The focus has switched to the performance of governance, and since then numerous international projects aimed to make this performance measureable and intend to set up an evaluation system to make different countries comparable in terms of performance of governance.</w:t>
      </w:r>
      <w:r>
        <w:rPr>
          <w:color w:val="000000"/>
          <w:sz w:val="24"/>
          <w:szCs w:val="24"/>
        </w:rPr>
        <w:br/>
        <w:t xml:space="preserve">The PERF (Performance of Governance) Project of the European Union came to life with the purpose of creating a basis for future benchmarking by systemizing and unifying the results of the former studies. From the key dimensions defined we have chosen the indicator “capacity to innovate” for further analysis, to investigate the possible ways to provoke innovation in the public administration, and the indicators measuring the results.</w:t>
      </w:r>
      <w:r>
        <w:rPr>
          <w:color w:val="000000"/>
          <w:sz w:val="24"/>
          <w:szCs w:val="24"/>
        </w:rPr>
        <w:br/>
        <w:t xml:space="preserve">The reason for choosing this indicator is its importance in the current turbulent economic environment the innovation capacity of any state plays a crucial role in its future prospects.</w:t>
      </w:r>
      <w:r>
        <w:rPr>
          <w:color w:val="000000"/>
          <w:sz w:val="24"/>
          <w:szCs w:val="24"/>
        </w:rPr>
        <w:br/>
        <w:t xml:space="preserve">Although innovation is tough to define and make it measureable, we try to overcome these obstacles. By identifying the general conditions of innovation it becomes clear that for generating new ideas certain level of information, human resource, financing, and open environment are needed.</w:t>
      </w:r>
      <w:r>
        <w:rPr>
          <w:color w:val="000000"/>
          <w:sz w:val="24"/>
          <w:szCs w:val="24"/>
        </w:rPr>
        <w:br/>
        <w:t xml:space="preserve">At the end of our study we suggest few possible indicators which can be used to measure the innovation capacity in the public administration.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79915">
    <w:multiLevelType w:val="hybridMultilevel"/>
    <w:lvl w:ilvl="0" w:tplc="43623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79915">
    <w:abstractNumId w:val="615799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812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