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FEKETE</w:t>
            </w:r>
          </w:p>
          <w:p w:rsidR="00C275A3" w:rsidRDefault="00A96AEC" w:rsidP="00C275A3">
            <w:pPr>
              <w:pStyle w:val="Hallgatokepzes"/>
            </w:pPr>
            <w:r>
              <w:t>Business and Management</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GEZA ATTILA FRANG</w:t>
            </w:r>
          </w:p>
          <w:p w:rsidR="00DB4822" w:rsidRDefault="00C275A3" w:rsidP="004D7940">
            <w:pPr>
              <w:pStyle w:val="Hallgatokepzes"/>
            </w:pPr>
            <w:r>
              <w:t>Finance and Accounting</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Norbert Kiss</w:t>
            </w:r>
          </w:p>
          <w:p w:rsidR="00DB4822" w:rsidRDefault="00DB4822" w:rsidP="00E11062">
            <w:pPr>
              <w:pStyle w:val="Konzulensek"/>
            </w:pPr>
            <w:r w:rsidRPr="00DB4822">
              <w:t>Professor's Assistant (CUB - Department of Leadership and Control),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Far and away from adherence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of adherence is an emerging field of research within health economics and – in a broader sense – in the objective function of the actors of the health sector. The observation of patients’ cooperation is a fresh focus of the scientific discourses – one of the first papers on the topic dates only back to 1948 (Hardy, 1948) – but it is already playing an important role in the literature, according to its strong connectedness to the effectiveness and costs of therapies.</w:t>
      </w:r>
      <w:r>
        <w:rPr>
          <w:color w:val="000000"/>
          <w:sz w:val="24"/>
          <w:szCs w:val="24"/>
        </w:rPr>
        <w:br/>
        <w:t xml:space="preserve">Haynes (2001) pointed out that each acts, aimed at the enhancement of patients’ cooperation has significantly larger effect on the health conditions of the patients than any other special therapies. In the present paper we focus on the question of cooperation in therapies, with specific attention to the possibilities of measuring adherence. Different methods naturally have different characteristics, advantages and disadvantages. Our aim is to identify these and to examine the outcome of every selected method. The relevance of the topic stems from the fact that by now even in Hungary there are accessible papers and studies on this very topic but only quite a few of them are extensive, systematizing and underpinned with empirical results.</w:t>
      </w:r>
      <w:r>
        <w:rPr>
          <w:color w:val="000000"/>
          <w:sz w:val="24"/>
          <w:szCs w:val="24"/>
        </w:rPr>
        <w:br/>
        <w:t xml:space="preserve">First, we are giving a brief overview on the international and hungarian literature of adherence and its effects. Second, we are going to analyse the contribution of patients’ cooperation to the success of a therapy – first for chronic diseases and then, after a tightening of the focus, for the statin-therapies. In the third – practical – section we are going to present the theoretical possibilities of the measurement of adherence and give detailed overview of three specific methodological approaches. These three (observation of the patients’ attitude by interviews; persistency functions derived from prescription data and measurement by electronic proportioners) are special because there are measured, comparable outcome for each of them for hungarian patients on statin-therapy.</w:t>
      </w:r>
      <w:r>
        <w:rPr>
          <w:color w:val="000000"/>
          <w:sz w:val="24"/>
          <w:szCs w:val="24"/>
        </w:rPr>
        <w:br/>
        <w:t xml:space="preserve">By this method we can compare the three methods and draw the conclusion that they can efficiently be complements to each other and so, by simultaneously performing them, the results will be more complete and more adequate to underpin strategic decisions aimed at enhancing the patients’ cooperation. In our opinion this could be an appropriate input for policies searching for more efficient ways of spending the financial resources of the health care system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72488">
    <w:multiLevelType w:val="hybridMultilevel"/>
    <w:lvl w:ilvl="0" w:tplc="14154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72488">
    <w:abstractNumId w:val="457724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289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