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CSATÓ</w:t>
            </w:r>
          </w:p>
          <w:p w:rsidR="00C275A3" w:rsidRDefault="00A96AEC" w:rsidP="00C275A3">
            <w:pPr>
              <w:pStyle w:val="Hallgatokepzes"/>
            </w:pPr>
            <w:r>
              <w:t>Quantitative Economic Analysis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Bozóki</w:t>
            </w:r>
          </w:p>
          <w:p w:rsidR="00DB4822" w:rsidRDefault="00DB4822" w:rsidP="00E11062">
            <w:pPr>
              <w:pStyle w:val="Konzulensek"/>
            </w:pPr>
            <w:r w:rsidRPr="00DB4822">
              <w:t>assistant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Decision Methods and Alternative Chess Results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results of the open section of the 39th Chess Olympiad are analyzed by using pairwise comparison matrices. The paper deals with the calculation of weight vectors obtained as the right eigenvector associated with the dominant eigenvalue of the matrix and by the application of the distance-minimizing Logarithmic Least Squares Method (LLSM). In both cases there are unknown pairwise comparisons, thus the procedures should be extended for incomplete matrices through an optimal completion of them.</w:t>
      </w:r>
    </w:p>
    <w:p>
      <w:pPr>
        <w:pBdr/>
        <w:spacing w:before="240" w:after="240" w:line="240" w:lineRule="auto"/>
        <w:ind w:left="0" w:right="0"/>
        <w:jc w:val="left"/>
      </w:pPr>
      <w:r>
        <w:rPr>
          <w:color w:val="000000"/>
          <w:sz w:val="24"/>
          <w:szCs w:val="24"/>
        </w:rPr>
        <w:t xml:space="preserve">The theory of incomplete pairwise comparison matrices is readily applicable to Swiss system chess tournaments, where the players do not play in all possible matchings, and consistency is not ensured, too. Currently used lexicographical ranking of teams is widely criticized, hence alternative methods are welcomed. Compared to the official result, our ranking presents significant differences for some participants, however, the majority of them can be explained by a thorough investigation of matches. Finally, other applications and future research directions are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20291">
    <w:multiLevelType w:val="hybridMultilevel"/>
    <w:lvl w:ilvl="0" w:tplc="20290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20291">
    <w:abstractNumId w:val="14420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836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