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ANRDÁS GAJDOS</w:t>
            </w:r>
          </w:p>
          <w:p w:rsidR="00C275A3" w:rsidRDefault="00A96AEC" w:rsidP="00C275A3">
            <w:pPr>
              <w:pStyle w:val="Hallgatokepzes"/>
            </w:pPr>
            <w:r>
              <w:t>Economic Analysis</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ANDRÁS VERES-SZENTKIRÁLYI</w:t>
            </w:r>
          </w:p>
          <w:p w:rsidR="00DB4822" w:rsidRDefault="00C275A3" w:rsidP="004D7940">
            <w:pPr>
              <w:pStyle w:val="Hallgatokepzes"/>
            </w:pPr>
            <w:r>
              <w:t>Engineering Information Technology</w:t>
            </w:r>
            <w:r w:rsidR="00A96AEC">
              <w:br/>
              <w:t>MSc, 3.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Electrical Engineering and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Gabor Benedek, Phd.</w:t>
            </w:r>
          </w:p>
          <w:p w:rsidR="00DB4822" w:rsidRDefault="00DB4822" w:rsidP="00E11062">
            <w:pPr>
              <w:pStyle w:val="Konzulensek"/>
            </w:pPr>
            <w:r w:rsidRPr="00DB4822">
              <w:t>assistant professor,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Regulation Under Informational Asymmetry - An Agent Based Approach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deals with agent based modeling (ABM-Agent Based Modeling) primarily with possible applications in economics and its constraints.</w:t>
      </w:r>
      <w:r>
        <w:rPr>
          <w:color w:val="000000"/>
          <w:sz w:val="24"/>
          <w:szCs w:val="24"/>
        </w:rPr>
        <w:br/>
        <w:t xml:space="preserve">The first half presents the ABM approach and methodology, first briefly, then each point in detail. This includes also the current status of the field examples of application, challenges and relationship with other disciplines. We compare it with the traditional modeling methods, theories; attention is drawn to the advantages, but also disadvantages and criticisms. Our goal is not to demonstrate that the ABM is the best choice for every situation, the optimal tool for modeling depends on the phenomenon and the aim of the modeling. However, the presentation will demonstrate, that if the main advantages of it are exploitable (heterogeneity, spatiality, information asymmetry and limited rationality, mutual relations), then this may be the best way.</w:t>
      </w:r>
      <w:r>
        <w:rPr>
          <w:color w:val="000000"/>
          <w:sz w:val="24"/>
          <w:szCs w:val="24"/>
        </w:rPr>
        <w:br/>
        <w:t xml:space="preserve">In the second half a demonstration model is shown, which we implemented. The model shows the competition of enterprises where the market is a two dimensional grid. A company can act in these fields by operating plants, but the demand of the field may change over time. Accordingly, the profit-maximizing companies - according to the rules of the game - decide on of expansion or on moving away from a field. We examined how the global wealth depends on the behavior of the companies, the information and the rules of the game (regulation). The results are widely studied and also in the practical sense interesting conclusions were drawn.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15461">
    <w:multiLevelType w:val="hybridMultilevel"/>
    <w:lvl w:ilvl="0" w:tplc="458302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15461">
    <w:abstractNumId w:val="90715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5313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