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LÁSZLÓ</w:t>
            </w:r>
          </w:p>
          <w:p w:rsidR="00C275A3" w:rsidRDefault="00A96AEC" w:rsidP="00C275A3">
            <w:pPr>
              <w:pStyle w:val="Hallgatokepzes"/>
            </w:pPr>
            <w:r>
              <w:t>Gazdaságinformatikus</w:t>
            </w:r>
            <w:r>
              <w:br/>
            </w:r>
            <w:r w:rsidR="00E77B23">
              <w:t>BSc, 6.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STANCSICS NÓRA</w:t>
            </w:r>
          </w:p>
          <w:p w:rsidR="00DB4822" w:rsidRDefault="00C275A3" w:rsidP="004D7940">
            <w:pPr>
              <w:pStyle w:val="Hallgatokepzes"/>
            </w:pPr>
            <w:r>
              <w:t>Vezetés-szervezés</w:t>
            </w:r>
            <w:r w:rsidR="00A96AEC">
              <w:br/>
              <w:t>MSc, 1.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Chikán Attila</w:t>
            </w:r>
          </w:p>
          <w:p w:rsidR="00DB4822" w:rsidRDefault="00DB4822" w:rsidP="00E11062">
            <w:pPr>
              <w:pStyle w:val="Konzulensek"/>
            </w:pPr>
            <w:r w:rsidRPr="00DB4822">
              <w:t>egyetemi tanár (BCE - Logisztika és Ellátási Lánc Menedzsment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2x2-es mátrixban már nincs helye állami hibának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 célja, hogy bemutassuk az állami szabályozások egy lehetséges csoportosítását, amelynek segítségével pontosabban lehet értékelni az állami döntések eredményességét az ország versenyképessége szempontjából. TDK dolgozatunkkal egyfajta eszközt kívánunk nyújtani az állami döntések megfelelő értékeléséhez, két dimenzió alapján csoportosítva a szabályozási lépéseket. A szabályozó célja a piaci kudarcok nem hatékony allokációjának kezelése, vagy a közösségi érdek más megnyilvánulása. Szabályozási eszköztárát felhasználhatja oly módon, hogy céljait a piaci koordináció segítségével, verseny kialakításával érje el, vagy ellenkezőleg, az állami befolyás növelésével, nem-piaci alapú működés létrehozásával. Ezek alapján négy típusba sorolhatók a szabályozási eszközök. A beavatkozási elemek egyes típusairól belátható, hogy mennyire lényegi kritériumuk a stabilitás, vagy a rugalmas változtathatóság a nemzeti szintű versenyképesség szempontjait figyelembe véve. Dolgozatunk konklúziója, hogy a piaci kudarcra reagáló piacpártoló, valamint a társadalmi célok megvalósulását segítő, állami szerepet növelő beavatkozási formák azok, melyeket érdemes hosszú távú stabil szabályozási eszközként használni.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98857">
    <w:multiLevelType w:val="hybridMultilevel"/>
    <w:lvl w:ilvl="0" w:tplc="82778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98857">
    <w:abstractNumId w:val="11798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956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