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STEFÁNIA DANKÓ</w:t>
            </w:r>
          </w:p>
          <w:p w:rsidR="00C275A3" w:rsidRDefault="00A96AEC" w:rsidP="00C275A3">
            <w:pPr>
              <w:pStyle w:val="Hallgatokepzes"/>
            </w:pPr>
            <w:r>
              <w:t>Finance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Bartha</w:t>
            </w:r>
          </w:p>
          <w:p w:rsidR="00DB4822" w:rsidRDefault="00DB4822" w:rsidP="00E11062">
            <w:pPr>
              <w:pStyle w:val="Konzulensek"/>
            </w:pPr>
            <w:r w:rsidRPr="00DB4822">
              <w:t>Director of research,  Kopint-Tárki Institute for Economic Research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Indebtedness and economic growth - lessons from the European Union's Central Eastern member states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general, indebtedness of countries has a negative connotation. The present paper first considers whether state indebtedness has actually an adverse effect on economic growth or not. Afterwards I present this issue by an empirical analysis of Central Eastern EU member states' data. Based on this research, I have concluded that there is a significant negative correlation between public debt and economic growth, while typically there is no significant correlation between external debt and economic growth. Nevertheless, the paper reveals that in case of Hungary, both public debt and external debt has a significant negative correlation with economic growth.</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33477">
    <w:multiLevelType w:val="hybridMultilevel"/>
    <w:lvl w:ilvl="0" w:tplc="49080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33477">
    <w:abstractNumId w:val="91533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475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