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LOI NGUYEN</w:t>
            </w:r>
          </w:p>
          <w:p w:rsidR="00C275A3" w:rsidRDefault="00A96AEC" w:rsidP="00C275A3">
            <w:pPr>
              <w:pStyle w:val="Hallgatokepzes"/>
            </w:pPr>
            <w:r>
              <w:t>Economics </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Péter Pintér</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Nash equilibrium of the Bayesian Game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primary goal of this paper is to define the strategic form of the Bayesian game within a general framework, an issue which so far is missing from literature. There are two major approaches: the widespread ex-ante and the lesser-known interim type.</w:t>
      </w:r>
    </w:p>
    <w:p>
      <w:pPr>
        <w:pBdr/>
        <w:spacing w:before="240" w:after="240" w:line="240" w:lineRule="auto"/>
        <w:ind w:left="0" w:right="0"/>
        <w:jc w:val="left"/>
      </w:pPr>
      <w:r>
        <w:rPr>
          <w:color w:val="000000"/>
          <w:sz w:val="24"/>
          <w:szCs w:val="24"/>
        </w:rPr>
        <w:t xml:space="preserve">The distinction between these two viewpoints is often confused, and the differences are disregarded, as in simple cases the Nash equilibrium coincides. However, with other concepts of equuilibrium, such as rationalisablility it has been proven the two approaches lead to different results. In this paper I shall examine the Nash equilibrium in a general framework to find out whether the Bayesian games derived into ex-ante and interim strategic form lead to same results, and if not, what the difference is between them.</w:t>
      </w:r>
    </w:p>
    <w:p>
      <w:pPr>
        <w:pBdr/>
        <w:spacing w:before="240" w:after="240" w:line="240" w:lineRule="auto"/>
        <w:ind w:left="0" w:right="0"/>
        <w:jc w:val="left"/>
      </w:pPr>
      <w:r>
        <w:rPr>
          <w:color w:val="000000"/>
          <w:sz w:val="24"/>
          <w:szCs w:val="24"/>
        </w:rPr>
        <w:t xml:space="preserve">An important result is that the approaches lead to different results, two examples of which I will provide. Further more I have managed to compose a sufficient condition to the equality of the Nash equilibriums derived from the two approaches.</w:t>
      </w:r>
    </w:p>
    <w:p>
      <w:pPr>
        <w:pBdr/>
        <w:spacing w:before="240" w:after="240" w:line="240" w:lineRule="auto"/>
        <w:ind w:left="0" w:right="0"/>
        <w:jc w:val="left"/>
      </w:pPr>
      <w:r>
        <w:rPr>
          <w:color w:val="000000"/>
          <w:sz w:val="24"/>
          <w:szCs w:val="24"/>
        </w:rPr>
        <w:t xml:space="preserve">This paper provides two general definitions of the Bayesian game’s strategic form which can be used in further research. I will also demonstrate and compare the two approaches from the aspect of the Nash equilibrium. Moreover, the results insist that the interim strategic form suits our expectations better.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77546">
    <w:multiLevelType w:val="hybridMultilevel"/>
    <w:lvl w:ilvl="0" w:tplc="73858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77546">
    <w:abstractNumId w:val="276775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938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