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KRISTÓF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Mike Károly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Múzeummenedzsment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múzeummenedzsment eszközeinek kialakulását és működését tárgyalom az elmúlt évtizedek európai és amerikai helyzetére koncentrálva. Ennek tágabb kontextusát az a változás adja, amely az 1970-80-as évektől kezdve zajlik a világ múzeumaiban. A múzeumok társadalomban betöltött szerepe fokozatosan átalakul: a korábban bezárkózó, az elitkultúrát képviselő, templomként működő múzeumok egyre inkább visszaszorulnak, és megjelennek a laboratóriumként működő, az állandóság helyett a flexibilitást és a látogatóközpontúságot előtérbe helyező múzeumok. Ezeknek a folyamatokban jelentős gazdasági oka az új kapitalista, kreativitást középpontba helyező világgazdasági változás, célja pedig az, hogy a múzeumokat demokratikusabb, elérhetőbb intézményekké változtassa. Mindezeknek a változásoknak jelenleg még sem az eredménye, sem pedig a mérlege nem egyértelmű.</w:t>
      </w:r>
      <w:r>
        <w:rPr>
          <w:color w:val="000000"/>
          <w:sz w:val="24"/>
          <w:szCs w:val="24"/>
        </w:rPr>
        <w:br/>
        <w:t xml:space="preserve">Amíg a múzeum által vizsgált kérdések esetében egyre inkább háttérbe szorul a tudományos tárgyalási metódus, úgy válnak egyre tudatosabbá, és tudományosan is szervezettebbé a múzeumok működési struktúrái. Egyre nagyobb szerepet kapnak a modern gazdálkodástudományi területek a múzeumok gazdasági működésének kialakításában (vezetés-szervezés, marketing, etc.). Ennek következtében a múzeumok ma már egyre inkább úgy működnek, mint a modern vállalatok, és ez nemcsak szervezeti működésüket, hanem külső kommunikációjukat, terjeszkedésüket is jellemezheti.</w:t>
      </w:r>
      <w:r>
        <w:rPr>
          <w:color w:val="000000"/>
          <w:sz w:val="24"/>
          <w:szCs w:val="24"/>
        </w:rPr>
        <w:br/>
        <w:t xml:space="preserve">Dolgozatom ezeknek a változásoknak az okait és jellemzőit tárgyalja, különös tekintettel a folyamatok lehetséges kockázataira. Mindemellett négy esettanulmány keretében mutatom be, hogy a különböző téren végbement változások milyen hatással jártak az intézmények belső, továbbá a fenntartóikhoz és látogatóikhoz fűződő viszonyaiban. Az esettanulmányokból három hazai intézményi szituációt tár fel, mellyel kapcsolatban felmerül annak a kérdése, hogy vajon miben és mennyiben térnek el a globális szinten félperiférikus helyet elfoglaló magyar múzeumi rendszer később kezdődő változásai a nyugat-európai és észak-amerikai példáktól.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83659">
    <w:multiLevelType w:val="hybridMultilevel"/>
    <w:lvl w:ilvl="0" w:tplc="38842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83659">
    <w:abstractNumId w:val="36183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221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